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800"/>
      </w:pPr>
    </w:p>
    <w:p>
      <w:pPr>
        <w:jc w:val="center"/>
      </w:pPr>
      <w:r>
        <w:rPr>
          <w:b/>
          <w:bCs/>
          <w:caps/>
          <w:color w:val="0E3386"/>
          <w:sz w:val="26"/>
          <w:szCs w:val="26"/>
        </w:rPr>
        <w:t xml:space="preserve">THE REBUILD:</w:t>
      </w:r>
    </w:p>
    <w:p>
      <w:pPr>
        <w:spacing w:after="120" w:before="120"/>
        <w:jc w:val="center"/>
      </w:pPr>
      <w:r>
        <w:rPr>
          <w:b/>
          <w:bCs/>
          <w:color w:val="1A1A1A"/>
          <w:sz w:val="40"/>
          <w:szCs w:val="40"/>
        </w:rPr>
        <w:t xml:space="preserve">Brad Keller's Conversion from Starter to Elite Reliever,</w:t>
      </w:r>
    </w:p>
    <w:p>
      <w:pPr>
        <w:spacing w:after="400"/>
        <w:jc w:val="center"/>
      </w:pPr>
      <w:r>
        <w:rPr>
          <w:b/>
          <w:bCs/>
          <w:color w:val="1A1A1A"/>
          <w:sz w:val="40"/>
          <w:szCs w:val="40"/>
        </w:rPr>
        <w:t xml:space="preserve">and What It Was Worth</w:t>
      </w:r>
    </w:p>
    <w:p>
      <w:pPr>
        <w:spacing w:after="60"/>
        <w:jc w:val="center"/>
      </w:pPr>
      <w:r>
        <w:rPr>
          <w:i/>
          <w:iCs/>
          <w:color w:val="5A5A5A"/>
          <w:sz w:val="24"/>
          <w:szCs w:val="24"/>
        </w:rPr>
        <w:t xml:space="preserve">A Statistical and Market-Value Analysis of the 2025 Season</w:t>
      </w:r>
    </w:p>
    <w:p>
      <w:pPr>
        <w:spacing w:after="40" w:before="600"/>
        <w:jc w:val="center"/>
      </w:pPr>
      <w:r>
        <w:rPr>
          <w:color w:val="5A5A5A"/>
          <w:sz w:val="20"/>
          <w:szCs w:val="20"/>
        </w:rPr>
        <w:t xml:space="preserve">September 2026</w:t>
      </w:r>
    </w:p>
    <w:p>
      <w:pPr>
        <w:spacing w:after="800"/>
        <w:jc w:val="center"/>
      </w:pPr>
      <w:r>
        <w:rPr>
          <w:color w:val="5A5A5A"/>
          <w:sz w:val="18"/>
          <w:szCs w:val="18"/>
        </w:rPr>
        <w:t xml:space="preserve">Kansas City Royals  →  Chicago White Sox / Boston Red Sox  →  Chicago Cubs  →  Philadelphia Phillies</w:t>
      </w:r>
    </w:p>
    <w:p>
      <w:pPr>
        <w:pageBreakBefore/>
      </w:pPr>
    </w:p>
    <w:p>
      <w:pPr>
        <w:pStyle w:val="Heading1"/>
        <w:spacing w:after="200" w:before="400"/>
      </w:pPr>
      <w:r>
        <w:t xml:space="preserve">Executive Summary</w:t>
      </w:r>
    </w:p>
    <w:p>
      <w:pPr>
        <w:spacing w:after="160" w:line="276"/>
      </w:pPr>
      <w:r>
        <w:rPr>
          <w:color w:val="1A1A1A"/>
          <w:sz w:val="22"/>
          <w:szCs w:val="22"/>
        </w:rPr>
        <w:t xml:space="preserve">Brad Keller entered 2025 as one of baseball's lowest-profile reclamation projects: a former Kansas City Royals mid-rotation starter whose career had been derailed by injury and ineffectiveness in 2023 and 2024. Unable to land a guaranteed major-league contract, he signed a minor-league deal with a spring-training invite from the Chicago Cubs on January 29, 2025. By October, he had become one of the Cubs' most trusted late-inning arms, and by December he had signed a two-year, $22 million contract with the Philadelphia Phillies.</w:t>
      </w:r>
    </w:p>
    <w:p>
      <w:pPr>
        <w:spacing w:after="160" w:line="276"/>
      </w:pPr>
      <w:r>
        <w:rPr>
          <w:color w:val="1A1A1A"/>
          <w:sz w:val="22"/>
          <w:szCs w:val="22"/>
        </w:rPr>
        <w:t xml:space="preserve">This report traces that transformation in three parts: (1) the on-field and Statcast-level changes that accompanied Keller's move from starter to high-leverage reliever — velocity, pitch mix, and role usage; (2) the resulting performance outcomes across traditional and advanced metrics; and (3) how those changes translated into free-agent market value, comparing pre-season and pre-free-agency projections to the contract he actually signed.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500"/>
            <w:tcBorders>
              <w:top w:val="single" w:color="C9D3E8" w:sz="2"/>
              <w:left w:val="single" w:color="C9D3E8" w:sz="2"/>
              <w:bottom w:val="single" w:color="C9D3E8" w:sz="2"/>
              <w:right w:val="single" w:color="C9D3E8" w:sz="2"/>
            </w:tcBorders>
            <w:shd w:fill="E8ECF6" w:val="clear"/>
            <w:tcMar>
              <w:top w:type="dxa" w:w="160"/>
              <w:left w:type="dxa" w:w="140"/>
              <w:bottom w:type="dxa" w:w="160"/>
              <w:right w:type="dxa" w:w="140"/>
            </w:tcMar>
          </w:tcPr>
          <w:p>
            <w:pPr>
              <w:spacing w:after="40"/>
              <w:jc w:val="center"/>
            </w:pPr>
            <w:r>
              <w:rPr>
                <w:b/>
                <w:bCs/>
                <w:color w:val="0E3386"/>
                <w:sz w:val="30"/>
                <w:szCs w:val="30"/>
              </w:rPr>
              <w:t xml:space="preserve">5.44</w:t>
            </w:r>
          </w:p>
          <w:p>
            <w:pPr>
              <w:jc w:val="center"/>
            </w:pPr>
            <w:r>
              <w:rPr>
                <w:color w:val="5A5A5A"/>
                <w:sz w:val="16"/>
                <w:szCs w:val="16"/>
              </w:rPr>
              <w:t xml:space="preserve">2024 ERA (SP/RP mix)</w:t>
            </w:r>
          </w:p>
          <w:p>
            <w:pPr>
              <w:jc w:val="center"/>
            </w:pPr>
            <w:r>
              <w:rPr>
                <w:i/>
                <w:iCs/>
                <w:color w:val="5A5A5A"/>
                <w:sz w:val="15"/>
                <w:szCs w:val="15"/>
              </w:rPr>
              <w:t xml:space="preserve">41.1 IP — CWS/BOS</w:t>
            </w:r>
          </w:p>
        </w:tc>
        <w:tc>
          <w:tcPr>
            <w:tcW w:type="dxa" w:w="2500"/>
            <w:tcBorders>
              <w:top w:val="single" w:color="C9D3E8" w:sz="2"/>
              <w:left w:val="single" w:color="C9D3E8" w:sz="2"/>
              <w:bottom w:val="single" w:color="C9D3E8" w:sz="2"/>
              <w:right w:val="single" w:color="C9D3E8" w:sz="2"/>
            </w:tcBorders>
            <w:shd w:fill="E8ECF6" w:val="clear"/>
            <w:tcMar>
              <w:top w:type="dxa" w:w="160"/>
              <w:left w:type="dxa" w:w="140"/>
              <w:bottom w:type="dxa" w:w="160"/>
              <w:right w:type="dxa" w:w="140"/>
            </w:tcMar>
          </w:tcPr>
          <w:p>
            <w:pPr>
              <w:spacing w:after="40"/>
              <w:jc w:val="center"/>
            </w:pPr>
            <w:r>
              <w:rPr>
                <w:b/>
                <w:bCs/>
                <w:color w:val="0E3386"/>
                <w:sz w:val="30"/>
                <w:szCs w:val="30"/>
              </w:rPr>
              <w:t xml:space="preserve">2.07</w:t>
            </w:r>
          </w:p>
          <w:p>
            <w:pPr>
              <w:jc w:val="center"/>
            </w:pPr>
            <w:r>
              <w:rPr>
                <w:color w:val="5A5A5A"/>
                <w:sz w:val="16"/>
                <w:szCs w:val="16"/>
              </w:rPr>
              <w:t xml:space="preserve">2025 ERA (Reliever)</w:t>
            </w:r>
          </w:p>
          <w:p>
            <w:pPr>
              <w:jc w:val="center"/>
            </w:pPr>
            <w:r>
              <w:rPr>
                <w:i/>
                <w:iCs/>
                <w:color w:val="5A5A5A"/>
                <w:sz w:val="15"/>
                <w:szCs w:val="15"/>
              </w:rPr>
              <w:t xml:space="preserve">69.2 IP — Cubs</w:t>
            </w:r>
          </w:p>
        </w:tc>
        <w:tc>
          <w:tcPr>
            <w:tcW w:type="dxa" w:w="2500"/>
            <w:tcBorders>
              <w:top w:val="single" w:color="C9D3E8" w:sz="2"/>
              <w:left w:val="single" w:color="C9D3E8" w:sz="2"/>
              <w:bottom w:val="single" w:color="C9D3E8" w:sz="2"/>
              <w:right w:val="single" w:color="C9D3E8" w:sz="2"/>
            </w:tcBorders>
            <w:shd w:fill="E8ECF6" w:val="clear"/>
            <w:tcMar>
              <w:top w:type="dxa" w:w="160"/>
              <w:left w:type="dxa" w:w="140"/>
              <w:bottom w:type="dxa" w:w="160"/>
              <w:right w:type="dxa" w:w="140"/>
            </w:tcMar>
          </w:tcPr>
          <w:p>
            <w:pPr>
              <w:spacing w:after="40"/>
              <w:jc w:val="center"/>
            </w:pPr>
            <w:r>
              <w:rPr>
                <w:b/>
                <w:bCs/>
                <w:color w:val="0E3386"/>
                <w:sz w:val="30"/>
                <w:szCs w:val="30"/>
              </w:rPr>
              <w:t xml:space="preserve">+3.5–4 mph</w:t>
            </w:r>
          </w:p>
          <w:p>
            <w:pPr>
              <w:jc w:val="center"/>
            </w:pPr>
            <w:r>
              <w:rPr>
                <w:color w:val="5A5A5A"/>
                <w:sz w:val="16"/>
                <w:szCs w:val="16"/>
              </w:rPr>
              <w:t xml:space="preserve">Velocity Gain</w:t>
            </w:r>
          </w:p>
          <w:p>
            <w:pPr>
              <w:jc w:val="center"/>
            </w:pPr>
            <w:r>
              <w:rPr>
                <w:i/>
                <w:iCs/>
                <w:color w:val="5A5A5A"/>
                <w:sz w:val="15"/>
                <w:szCs w:val="15"/>
              </w:rPr>
              <w:t xml:space="preserve">4-seam fastball</w:t>
            </w:r>
          </w:p>
        </w:tc>
        <w:tc>
          <w:tcPr>
            <w:tcW w:type="dxa" w:w="2500"/>
            <w:tcBorders>
              <w:top w:val="single" w:color="C9D3E8" w:sz="2"/>
              <w:left w:val="single" w:color="C9D3E8" w:sz="2"/>
              <w:bottom w:val="single" w:color="C9D3E8" w:sz="2"/>
              <w:right w:val="single" w:color="C9D3E8" w:sz="2"/>
            </w:tcBorders>
            <w:shd w:fill="E8ECF6" w:val="clear"/>
            <w:tcMar>
              <w:top w:type="dxa" w:w="160"/>
              <w:left w:type="dxa" w:w="140"/>
              <w:bottom w:type="dxa" w:w="160"/>
              <w:right w:type="dxa" w:w="140"/>
            </w:tcMar>
          </w:tcPr>
          <w:p>
            <w:pPr>
              <w:spacing w:after="40"/>
              <w:jc w:val="center"/>
            </w:pPr>
            <w:r>
              <w:rPr>
                <w:b/>
                <w:bCs/>
                <w:color w:val="0E3386"/>
                <w:sz w:val="30"/>
                <w:szCs w:val="30"/>
              </w:rPr>
              <w:t xml:space="preserve">$22M / 2 yrs</w:t>
            </w:r>
          </w:p>
          <w:p>
            <w:pPr>
              <w:jc w:val="center"/>
            </w:pPr>
            <w:r>
              <w:rPr>
                <w:color w:val="5A5A5A"/>
                <w:sz w:val="16"/>
                <w:szCs w:val="16"/>
              </w:rPr>
              <w:t xml:space="preserve">Contract Signed</w:t>
            </w:r>
          </w:p>
          <w:p>
            <w:pPr>
              <w:jc w:val="center"/>
            </w:pPr>
            <w:r>
              <w:rPr>
                <w:i/>
                <w:iCs/>
                <w:color w:val="5A5A5A"/>
                <w:sz w:val="15"/>
                <w:szCs w:val="15"/>
              </w:rPr>
              <w:t xml:space="preserve">Phillies, Dec. 2025</w:t>
            </w:r>
          </w:p>
        </w:tc>
      </w:tr>
    </w:tbl>
    <w:p>
      <w:pPr>
        <w:spacing w:after="260" w:before="60"/>
      </w:pPr>
      <w:r>
        <w:rPr>
          <w:i/>
          <w:iCs/>
          <w:color w:val="5A5A5A"/>
          <w:sz w:val="18"/>
          <w:szCs w:val="18"/>
        </w:rPr>
        <w:t xml:space="preserve">Figure 1. Headline before/after metrics, 2024 season to 2025 free agency.</w:t>
      </w:r>
    </w:p>
    <w:p>
      <w:pPr>
        <w:pStyle w:val="Heading1"/>
        <w:spacing w:after="200" w:before="400"/>
      </w:pPr>
      <w:r>
        <w:t xml:space="preserve">1. Before the Breakout: Career Context and Market Value Entering 2025</w:t>
      </w:r>
    </w:p>
    <w:p>
      <w:pPr>
        <w:spacing w:after="160" w:line="276"/>
      </w:pPr>
      <w:r>
        <w:rPr>
          <w:color w:val="1A1A1A"/>
          <w:sz w:val="22"/>
          <w:szCs w:val="22"/>
        </w:rPr>
        <w:t xml:space="preserve">Keller debuted with the Royals in 2018 and spent four full seasons (2018–2021) as a rotation piece, posting a 3.50 ERA across 360.1 innings from 2018–2020 before his performance and health declined. 2022 and 2023 were transitional and injury-shortened; a shoulder impingement and a subsequent surgery to address thoracic outlet syndrome limited him to a combined 27 appearances across 2023–2024, during which he produced roughly –0.6 combined WAR. A split 2024 season with the Chicago White Sox and Boston Red Sox produced an 0-4 record and a 5.44 ERA over just 41.1 innings.</w:t>
      </w:r>
    </w:p>
    <w:p>
      <w:pPr>
        <w:pStyle w:val="Heading2"/>
        <w:spacing w:after="150" w:before="300"/>
      </w:pPr>
      <w:r>
        <w:t xml:space="preserve">1.1 Career Year-by-Year Performance</w:t>
      </w:r>
    </w:p>
    <w:tbl>
      <w:tblPr>
        <w:tblW w:type="dxa" w:w="10360"/>
        <w:tblBorders>
          <w:top w:val="single" w:color="auto" w:sz="4"/>
          <w:left w:val="single" w:color="auto" w:sz="4"/>
          <w:bottom w:val="single" w:color="auto" w:sz="4"/>
          <w:right w:val="single" w:color="auto" w:sz="4"/>
          <w:insideH w:val="single" w:color="auto" w:sz="4"/>
          <w:insideV w:val="single" w:color="auto" w:sz="4"/>
        </w:tblBorders>
      </w:tblPr>
      <w:tblGrid>
        <w:gridCol w:w="1400"/>
        <w:gridCol w:w="2200"/>
        <w:gridCol w:w="1700"/>
        <w:gridCol w:w="1300"/>
        <w:gridCol w:w="1660"/>
        <w:gridCol w:w="1100"/>
        <w:gridCol w:w="1000"/>
      </w:tblGrid>
      <w:tr>
        <w:trPr>
          <w:tblHeader/>
        </w:trPr>
        <w:tc>
          <w:tcPr>
            <w:tcW w:type="dxa" w:w="1400"/>
            <w:shd w:fill="0E3386" w:val="clear"/>
            <w:tcMar>
              <w:top w:type="dxa" w:w="100"/>
              <w:left w:type="dxa" w:w="120"/>
              <w:bottom w:type="dxa" w:w="100"/>
              <w:right w:type="dxa" w:w="120"/>
            </w:tcMar>
          </w:tcPr>
          <w:p>
            <w:r>
              <w:rPr>
                <w:b/>
                <w:bCs/>
                <w:color w:val="FFFFFF"/>
                <w:sz w:val="19"/>
                <w:szCs w:val="19"/>
              </w:rPr>
              <w:t xml:space="preserve">Season</w:t>
            </w:r>
          </w:p>
        </w:tc>
        <w:tc>
          <w:tcPr>
            <w:tcW w:type="dxa" w:w="2200"/>
            <w:shd w:fill="0E3386" w:val="clear"/>
            <w:tcMar>
              <w:top w:type="dxa" w:w="100"/>
              <w:left w:type="dxa" w:w="120"/>
              <w:bottom w:type="dxa" w:w="100"/>
              <w:right w:type="dxa" w:w="120"/>
            </w:tcMar>
          </w:tcPr>
          <w:p>
            <w:r>
              <w:rPr>
                <w:b/>
                <w:bCs/>
                <w:color w:val="FFFFFF"/>
                <w:sz w:val="19"/>
                <w:szCs w:val="19"/>
              </w:rPr>
              <w:t xml:space="preserve">Team(s)</w:t>
            </w:r>
          </w:p>
        </w:tc>
        <w:tc>
          <w:tcPr>
            <w:tcW w:type="dxa" w:w="1700"/>
            <w:shd w:fill="0E3386" w:val="clear"/>
            <w:tcMar>
              <w:top w:type="dxa" w:w="100"/>
              <w:left w:type="dxa" w:w="120"/>
              <w:bottom w:type="dxa" w:w="100"/>
              <w:right w:type="dxa" w:w="120"/>
            </w:tcMar>
          </w:tcPr>
          <w:p>
            <w:r>
              <w:rPr>
                <w:b/>
                <w:bCs/>
                <w:color w:val="FFFFFF"/>
                <w:sz w:val="19"/>
                <w:szCs w:val="19"/>
              </w:rPr>
              <w:t xml:space="preserve">Role</w:t>
            </w:r>
          </w:p>
        </w:tc>
        <w:tc>
          <w:tcPr>
            <w:tcW w:type="dxa" w:w="1300"/>
            <w:shd w:fill="0E3386" w:val="clear"/>
            <w:tcMar>
              <w:top w:type="dxa" w:w="100"/>
              <w:left w:type="dxa" w:w="120"/>
              <w:bottom w:type="dxa" w:w="100"/>
              <w:right w:type="dxa" w:w="120"/>
            </w:tcMar>
          </w:tcPr>
          <w:p>
            <w:r>
              <w:rPr>
                <w:b/>
                <w:bCs/>
                <w:color w:val="FFFFFF"/>
                <w:sz w:val="19"/>
                <w:szCs w:val="19"/>
              </w:rPr>
              <w:t xml:space="preserve">G (GS)</w:t>
            </w:r>
          </w:p>
        </w:tc>
        <w:tc>
          <w:tcPr>
            <w:tcW w:type="dxa" w:w="1660"/>
            <w:shd w:fill="0E3386" w:val="clear"/>
            <w:tcMar>
              <w:top w:type="dxa" w:w="100"/>
              <w:left w:type="dxa" w:w="120"/>
              <w:bottom w:type="dxa" w:w="100"/>
              <w:right w:type="dxa" w:w="120"/>
            </w:tcMar>
          </w:tcPr>
          <w:p>
            <w:r>
              <w:rPr>
                <w:b/>
                <w:bCs/>
                <w:color w:val="FFFFFF"/>
                <w:sz w:val="19"/>
                <w:szCs w:val="19"/>
              </w:rPr>
              <w:t xml:space="preserve">IP</w:t>
            </w:r>
          </w:p>
        </w:tc>
        <w:tc>
          <w:tcPr>
            <w:tcW w:type="dxa" w:w="1100"/>
            <w:shd w:fill="0E3386" w:val="clear"/>
            <w:tcMar>
              <w:top w:type="dxa" w:w="100"/>
              <w:left w:type="dxa" w:w="120"/>
              <w:bottom w:type="dxa" w:w="100"/>
              <w:right w:type="dxa" w:w="120"/>
            </w:tcMar>
          </w:tcPr>
          <w:p>
            <w:r>
              <w:rPr>
                <w:b/>
                <w:bCs/>
                <w:color w:val="FFFFFF"/>
                <w:sz w:val="19"/>
                <w:szCs w:val="19"/>
              </w:rPr>
              <w:t xml:space="preserve">ERA</w:t>
            </w:r>
          </w:p>
        </w:tc>
        <w:tc>
          <w:tcPr>
            <w:tcW w:type="dxa" w:w="1000"/>
            <w:shd w:fill="0E3386" w:val="clear"/>
            <w:tcMar>
              <w:top w:type="dxa" w:w="100"/>
              <w:left w:type="dxa" w:w="120"/>
              <w:bottom w:type="dxa" w:w="100"/>
              <w:right w:type="dxa" w:w="120"/>
            </w:tcMar>
          </w:tcPr>
          <w:p>
            <w:r>
              <w:rPr>
                <w:b/>
                <w:bCs/>
                <w:color w:val="FFFFFF"/>
                <w:sz w:val="19"/>
                <w:szCs w:val="19"/>
              </w:rPr>
              <w:t xml:space="preserve">K</w:t>
            </w:r>
          </w:p>
        </w:tc>
      </w:tr>
      <w:tr>
        <w:tc>
          <w:tcPr>
            <w:tcW w:type="dxa" w:w="1400"/>
            <w:shd w:fill="FFFFFF" w:val="clear"/>
            <w:tcMar>
              <w:top w:type="dxa" w:w="90"/>
              <w:left w:type="dxa" w:w="120"/>
              <w:bottom w:type="dxa" w:w="90"/>
              <w:right w:type="dxa" w:w="120"/>
            </w:tcMar>
          </w:tcPr>
          <w:p>
            <w:r>
              <w:rPr>
                <w:color w:val="1A1A1A"/>
                <w:sz w:val="19"/>
                <w:szCs w:val="19"/>
              </w:rPr>
              <w:t xml:space="preserve">2018</w:t>
            </w:r>
          </w:p>
        </w:tc>
        <w:tc>
          <w:tcPr>
            <w:tcW w:type="dxa" w:w="2200"/>
            <w:shd w:fill="FFFFFF" w:val="clear"/>
            <w:tcMar>
              <w:top w:type="dxa" w:w="90"/>
              <w:left w:type="dxa" w:w="120"/>
              <w:bottom w:type="dxa" w:w="90"/>
              <w:right w:type="dxa" w:w="120"/>
            </w:tcMar>
          </w:tcPr>
          <w:p>
            <w:r>
              <w:rPr>
                <w:color w:val="1A1A1A"/>
                <w:sz w:val="19"/>
                <w:szCs w:val="19"/>
              </w:rPr>
              <w:t xml:space="preserve">Kansas City</w:t>
            </w:r>
          </w:p>
        </w:tc>
        <w:tc>
          <w:tcPr>
            <w:tcW w:type="dxa" w:w="1700"/>
            <w:shd w:fill="FFFFFF" w:val="clear"/>
            <w:tcMar>
              <w:top w:type="dxa" w:w="90"/>
              <w:left w:type="dxa" w:w="120"/>
              <w:bottom w:type="dxa" w:w="90"/>
              <w:right w:type="dxa" w:w="120"/>
            </w:tcMar>
          </w:tcPr>
          <w:p>
            <w:r>
              <w:rPr>
                <w:color w:val="1A1A1A"/>
                <w:sz w:val="19"/>
                <w:szCs w:val="19"/>
              </w:rPr>
              <w:t xml:space="preserve">Starter</w:t>
            </w:r>
          </w:p>
        </w:tc>
        <w:tc>
          <w:tcPr>
            <w:tcW w:type="dxa" w:w="1300"/>
            <w:shd w:fill="FFFFFF" w:val="clear"/>
            <w:tcMar>
              <w:top w:type="dxa" w:w="90"/>
              <w:left w:type="dxa" w:w="120"/>
              <w:bottom w:type="dxa" w:w="90"/>
              <w:right w:type="dxa" w:w="120"/>
            </w:tcMar>
          </w:tcPr>
          <w:p>
            <w:r>
              <w:rPr>
                <w:color w:val="1A1A1A"/>
                <w:sz w:val="19"/>
                <w:szCs w:val="19"/>
              </w:rPr>
              <w:t xml:space="preserve">36 (28)</w:t>
            </w:r>
          </w:p>
        </w:tc>
        <w:tc>
          <w:tcPr>
            <w:tcW w:type="dxa" w:w="1660"/>
            <w:shd w:fill="FFFFFF" w:val="clear"/>
            <w:tcMar>
              <w:top w:type="dxa" w:w="90"/>
              <w:left w:type="dxa" w:w="120"/>
              <w:bottom w:type="dxa" w:w="90"/>
              <w:right w:type="dxa" w:w="120"/>
            </w:tcMar>
          </w:tcPr>
          <w:p>
            <w:r>
              <w:rPr>
                <w:color w:val="1A1A1A"/>
                <w:sz w:val="19"/>
                <w:szCs w:val="19"/>
              </w:rPr>
              <w:t xml:space="preserve">140.1</w:t>
            </w:r>
          </w:p>
        </w:tc>
        <w:tc>
          <w:tcPr>
            <w:tcW w:type="dxa" w:w="1100"/>
            <w:shd w:fill="FFFFFF" w:val="clear"/>
            <w:tcMar>
              <w:top w:type="dxa" w:w="90"/>
              <w:left w:type="dxa" w:w="120"/>
              <w:bottom w:type="dxa" w:w="90"/>
              <w:right w:type="dxa" w:w="120"/>
            </w:tcMar>
          </w:tcPr>
          <w:p>
            <w:r>
              <w:rPr>
                <w:color w:val="1A1A1A"/>
                <w:sz w:val="19"/>
                <w:szCs w:val="19"/>
              </w:rPr>
              <w:t xml:space="preserve">3.08</w:t>
            </w:r>
          </w:p>
        </w:tc>
        <w:tc>
          <w:tcPr>
            <w:tcW w:type="dxa" w:w="1000"/>
            <w:shd w:fill="FFFFFF" w:val="clear"/>
            <w:tcMar>
              <w:top w:type="dxa" w:w="90"/>
              <w:left w:type="dxa" w:w="120"/>
              <w:bottom w:type="dxa" w:w="90"/>
              <w:right w:type="dxa" w:w="120"/>
            </w:tcMar>
          </w:tcPr>
          <w:p>
            <w:r>
              <w:rPr>
                <w:color w:val="1A1A1A"/>
                <w:sz w:val="19"/>
                <w:szCs w:val="19"/>
              </w:rPr>
              <w:t xml:space="preserve">91</w:t>
            </w:r>
          </w:p>
        </w:tc>
      </w:tr>
      <w:tr>
        <w:tc>
          <w:tcPr>
            <w:tcW w:type="dxa" w:w="1400"/>
            <w:shd w:fill="F2F2F2" w:val="clear"/>
            <w:tcMar>
              <w:top w:type="dxa" w:w="90"/>
              <w:left w:type="dxa" w:w="120"/>
              <w:bottom w:type="dxa" w:w="90"/>
              <w:right w:type="dxa" w:w="120"/>
            </w:tcMar>
          </w:tcPr>
          <w:p>
            <w:r>
              <w:rPr>
                <w:color w:val="1A1A1A"/>
                <w:sz w:val="19"/>
                <w:szCs w:val="19"/>
              </w:rPr>
              <w:t xml:space="preserve">2019</w:t>
            </w:r>
          </w:p>
        </w:tc>
        <w:tc>
          <w:tcPr>
            <w:tcW w:type="dxa" w:w="2200"/>
            <w:shd w:fill="F2F2F2" w:val="clear"/>
            <w:tcMar>
              <w:top w:type="dxa" w:w="90"/>
              <w:left w:type="dxa" w:w="120"/>
              <w:bottom w:type="dxa" w:w="90"/>
              <w:right w:type="dxa" w:w="120"/>
            </w:tcMar>
          </w:tcPr>
          <w:p>
            <w:r>
              <w:rPr>
                <w:color w:val="1A1A1A"/>
                <w:sz w:val="19"/>
                <w:szCs w:val="19"/>
              </w:rPr>
              <w:t xml:space="preserve">Kansas City</w:t>
            </w:r>
          </w:p>
        </w:tc>
        <w:tc>
          <w:tcPr>
            <w:tcW w:type="dxa" w:w="1700"/>
            <w:shd w:fill="F2F2F2" w:val="clear"/>
            <w:tcMar>
              <w:top w:type="dxa" w:w="90"/>
              <w:left w:type="dxa" w:w="120"/>
              <w:bottom w:type="dxa" w:w="90"/>
              <w:right w:type="dxa" w:w="120"/>
            </w:tcMar>
          </w:tcPr>
          <w:p>
            <w:r>
              <w:rPr>
                <w:color w:val="1A1A1A"/>
                <w:sz w:val="19"/>
                <w:szCs w:val="19"/>
              </w:rPr>
              <w:t xml:space="preserve">Starter</w:t>
            </w:r>
          </w:p>
        </w:tc>
        <w:tc>
          <w:tcPr>
            <w:tcW w:type="dxa" w:w="1300"/>
            <w:shd w:fill="F2F2F2" w:val="clear"/>
            <w:tcMar>
              <w:top w:type="dxa" w:w="90"/>
              <w:left w:type="dxa" w:w="120"/>
              <w:bottom w:type="dxa" w:w="90"/>
              <w:right w:type="dxa" w:w="120"/>
            </w:tcMar>
          </w:tcPr>
          <w:p>
            <w:r>
              <w:rPr>
                <w:color w:val="1A1A1A"/>
                <w:sz w:val="19"/>
                <w:szCs w:val="19"/>
              </w:rPr>
              <w:t xml:space="preserve">31 (31)</w:t>
            </w:r>
          </w:p>
        </w:tc>
        <w:tc>
          <w:tcPr>
            <w:tcW w:type="dxa" w:w="1660"/>
            <w:shd w:fill="F2F2F2" w:val="clear"/>
            <w:tcMar>
              <w:top w:type="dxa" w:w="90"/>
              <w:left w:type="dxa" w:w="120"/>
              <w:bottom w:type="dxa" w:w="90"/>
              <w:right w:type="dxa" w:w="120"/>
            </w:tcMar>
          </w:tcPr>
          <w:p>
            <w:r>
              <w:rPr>
                <w:color w:val="1A1A1A"/>
                <w:sz w:val="19"/>
                <w:szCs w:val="19"/>
              </w:rPr>
              <w:t xml:space="preserve">165.1</w:t>
            </w:r>
          </w:p>
        </w:tc>
        <w:tc>
          <w:tcPr>
            <w:tcW w:type="dxa" w:w="1100"/>
            <w:shd w:fill="F2F2F2" w:val="clear"/>
            <w:tcMar>
              <w:top w:type="dxa" w:w="90"/>
              <w:left w:type="dxa" w:w="120"/>
              <w:bottom w:type="dxa" w:w="90"/>
              <w:right w:type="dxa" w:w="120"/>
            </w:tcMar>
          </w:tcPr>
          <w:p>
            <w:r>
              <w:rPr>
                <w:color w:val="1A1A1A"/>
                <w:sz w:val="19"/>
                <w:szCs w:val="19"/>
              </w:rPr>
              <w:t xml:space="preserve">4.19</w:t>
            </w:r>
          </w:p>
        </w:tc>
        <w:tc>
          <w:tcPr>
            <w:tcW w:type="dxa" w:w="1000"/>
            <w:shd w:fill="F2F2F2" w:val="clear"/>
            <w:tcMar>
              <w:top w:type="dxa" w:w="90"/>
              <w:left w:type="dxa" w:w="120"/>
              <w:bottom w:type="dxa" w:w="90"/>
              <w:right w:type="dxa" w:w="120"/>
            </w:tcMar>
          </w:tcPr>
          <w:p>
            <w:r>
              <w:rPr>
                <w:color w:val="1A1A1A"/>
                <w:sz w:val="19"/>
                <w:szCs w:val="19"/>
              </w:rPr>
              <w:t xml:space="preserve">122</w:t>
            </w:r>
          </w:p>
        </w:tc>
      </w:tr>
      <w:tr>
        <w:tc>
          <w:tcPr>
            <w:tcW w:type="dxa" w:w="1400"/>
            <w:shd w:fill="FFFFFF" w:val="clear"/>
            <w:tcMar>
              <w:top w:type="dxa" w:w="90"/>
              <w:left w:type="dxa" w:w="120"/>
              <w:bottom w:type="dxa" w:w="90"/>
              <w:right w:type="dxa" w:w="120"/>
            </w:tcMar>
          </w:tcPr>
          <w:p>
            <w:r>
              <w:rPr>
                <w:color w:val="1A1A1A"/>
                <w:sz w:val="19"/>
                <w:szCs w:val="19"/>
              </w:rPr>
              <w:t xml:space="preserve">2020</w:t>
            </w:r>
          </w:p>
        </w:tc>
        <w:tc>
          <w:tcPr>
            <w:tcW w:type="dxa" w:w="2200"/>
            <w:shd w:fill="FFFFFF" w:val="clear"/>
            <w:tcMar>
              <w:top w:type="dxa" w:w="90"/>
              <w:left w:type="dxa" w:w="120"/>
              <w:bottom w:type="dxa" w:w="90"/>
              <w:right w:type="dxa" w:w="120"/>
            </w:tcMar>
          </w:tcPr>
          <w:p>
            <w:r>
              <w:rPr>
                <w:color w:val="1A1A1A"/>
                <w:sz w:val="19"/>
                <w:szCs w:val="19"/>
              </w:rPr>
              <w:t xml:space="preserve">Kansas City</w:t>
            </w:r>
          </w:p>
        </w:tc>
        <w:tc>
          <w:tcPr>
            <w:tcW w:type="dxa" w:w="1700"/>
            <w:shd w:fill="FFFFFF" w:val="clear"/>
            <w:tcMar>
              <w:top w:type="dxa" w:w="90"/>
              <w:left w:type="dxa" w:w="120"/>
              <w:bottom w:type="dxa" w:w="90"/>
              <w:right w:type="dxa" w:w="120"/>
            </w:tcMar>
          </w:tcPr>
          <w:p>
            <w:r>
              <w:rPr>
                <w:color w:val="1A1A1A"/>
                <w:sz w:val="19"/>
                <w:szCs w:val="19"/>
              </w:rPr>
              <w:t xml:space="preserve">Starter</w:t>
            </w:r>
          </w:p>
        </w:tc>
        <w:tc>
          <w:tcPr>
            <w:tcW w:type="dxa" w:w="1300"/>
            <w:shd w:fill="FFFFFF" w:val="clear"/>
            <w:tcMar>
              <w:top w:type="dxa" w:w="90"/>
              <w:left w:type="dxa" w:w="120"/>
              <w:bottom w:type="dxa" w:w="90"/>
              <w:right w:type="dxa" w:w="120"/>
            </w:tcMar>
          </w:tcPr>
          <w:p>
            <w:r>
              <w:rPr>
                <w:color w:val="1A1A1A"/>
                <w:sz w:val="19"/>
                <w:szCs w:val="19"/>
              </w:rPr>
              <w:t xml:space="preserve">9 (9)</w:t>
            </w:r>
          </w:p>
        </w:tc>
        <w:tc>
          <w:tcPr>
            <w:tcW w:type="dxa" w:w="1660"/>
            <w:shd w:fill="FFFFFF" w:val="clear"/>
            <w:tcMar>
              <w:top w:type="dxa" w:w="90"/>
              <w:left w:type="dxa" w:w="120"/>
              <w:bottom w:type="dxa" w:w="90"/>
              <w:right w:type="dxa" w:w="120"/>
            </w:tcMar>
          </w:tcPr>
          <w:p>
            <w:r>
              <w:rPr>
                <w:color w:val="1A1A1A"/>
                <w:sz w:val="19"/>
                <w:szCs w:val="19"/>
              </w:rPr>
              <w:t xml:space="preserve">54.2</w:t>
            </w:r>
          </w:p>
        </w:tc>
        <w:tc>
          <w:tcPr>
            <w:tcW w:type="dxa" w:w="1100"/>
            <w:shd w:fill="FFFFFF" w:val="clear"/>
            <w:tcMar>
              <w:top w:type="dxa" w:w="90"/>
              <w:left w:type="dxa" w:w="120"/>
              <w:bottom w:type="dxa" w:w="90"/>
              <w:right w:type="dxa" w:w="120"/>
            </w:tcMar>
          </w:tcPr>
          <w:p>
            <w:r>
              <w:rPr>
                <w:color w:val="1A1A1A"/>
                <w:sz w:val="19"/>
                <w:szCs w:val="19"/>
              </w:rPr>
              <w:t xml:space="preserve">2.47</w:t>
            </w:r>
          </w:p>
        </w:tc>
        <w:tc>
          <w:tcPr>
            <w:tcW w:type="dxa" w:w="1000"/>
            <w:shd w:fill="FFFFFF" w:val="clear"/>
            <w:tcMar>
              <w:top w:type="dxa" w:w="90"/>
              <w:left w:type="dxa" w:w="120"/>
              <w:bottom w:type="dxa" w:w="90"/>
              <w:right w:type="dxa" w:w="120"/>
            </w:tcMar>
          </w:tcPr>
          <w:p>
            <w:r>
              <w:rPr>
                <w:color w:val="1A1A1A"/>
                <w:sz w:val="19"/>
                <w:szCs w:val="19"/>
              </w:rPr>
              <w:t xml:space="preserve">35</w:t>
            </w:r>
          </w:p>
        </w:tc>
      </w:tr>
      <w:tr>
        <w:tc>
          <w:tcPr>
            <w:tcW w:type="dxa" w:w="1400"/>
            <w:shd w:fill="F2F2F2" w:val="clear"/>
            <w:tcMar>
              <w:top w:type="dxa" w:w="90"/>
              <w:left w:type="dxa" w:w="120"/>
              <w:bottom w:type="dxa" w:w="90"/>
              <w:right w:type="dxa" w:w="120"/>
            </w:tcMar>
          </w:tcPr>
          <w:p>
            <w:r>
              <w:rPr>
                <w:color w:val="1A1A1A"/>
                <w:sz w:val="19"/>
                <w:szCs w:val="19"/>
              </w:rPr>
              <w:t xml:space="preserve">2021</w:t>
            </w:r>
          </w:p>
        </w:tc>
        <w:tc>
          <w:tcPr>
            <w:tcW w:type="dxa" w:w="2200"/>
            <w:shd w:fill="F2F2F2" w:val="clear"/>
            <w:tcMar>
              <w:top w:type="dxa" w:w="90"/>
              <w:left w:type="dxa" w:w="120"/>
              <w:bottom w:type="dxa" w:w="90"/>
              <w:right w:type="dxa" w:w="120"/>
            </w:tcMar>
          </w:tcPr>
          <w:p>
            <w:r>
              <w:rPr>
                <w:color w:val="1A1A1A"/>
                <w:sz w:val="19"/>
                <w:szCs w:val="19"/>
              </w:rPr>
              <w:t xml:space="preserve">Kansas City</w:t>
            </w:r>
          </w:p>
        </w:tc>
        <w:tc>
          <w:tcPr>
            <w:tcW w:type="dxa" w:w="1700"/>
            <w:shd w:fill="F2F2F2" w:val="clear"/>
            <w:tcMar>
              <w:top w:type="dxa" w:w="90"/>
              <w:left w:type="dxa" w:w="120"/>
              <w:bottom w:type="dxa" w:w="90"/>
              <w:right w:type="dxa" w:w="120"/>
            </w:tcMar>
          </w:tcPr>
          <w:p>
            <w:r>
              <w:rPr>
                <w:color w:val="1A1A1A"/>
                <w:sz w:val="19"/>
                <w:szCs w:val="19"/>
              </w:rPr>
              <w:t xml:space="preserve">Starter</w:t>
            </w:r>
          </w:p>
        </w:tc>
        <w:tc>
          <w:tcPr>
            <w:tcW w:type="dxa" w:w="1300"/>
            <w:shd w:fill="F2F2F2" w:val="clear"/>
            <w:tcMar>
              <w:top w:type="dxa" w:w="90"/>
              <w:left w:type="dxa" w:w="120"/>
              <w:bottom w:type="dxa" w:w="90"/>
              <w:right w:type="dxa" w:w="120"/>
            </w:tcMar>
          </w:tcPr>
          <w:p>
            <w:r>
              <w:rPr>
                <w:color w:val="1A1A1A"/>
                <w:sz w:val="19"/>
                <w:szCs w:val="19"/>
              </w:rPr>
              <w:t xml:space="preserve">26 (26)</w:t>
            </w:r>
          </w:p>
        </w:tc>
        <w:tc>
          <w:tcPr>
            <w:tcW w:type="dxa" w:w="1660"/>
            <w:shd w:fill="F2F2F2" w:val="clear"/>
            <w:tcMar>
              <w:top w:type="dxa" w:w="90"/>
              <w:left w:type="dxa" w:w="120"/>
              <w:bottom w:type="dxa" w:w="90"/>
              <w:right w:type="dxa" w:w="120"/>
            </w:tcMar>
          </w:tcPr>
          <w:p>
            <w:r>
              <w:rPr>
                <w:color w:val="1A1A1A"/>
                <w:sz w:val="19"/>
                <w:szCs w:val="19"/>
              </w:rPr>
              <w:t xml:space="preserve">133.2</w:t>
            </w:r>
          </w:p>
        </w:tc>
        <w:tc>
          <w:tcPr>
            <w:tcW w:type="dxa" w:w="1100"/>
            <w:shd w:fill="F2F2F2" w:val="clear"/>
            <w:tcMar>
              <w:top w:type="dxa" w:w="90"/>
              <w:left w:type="dxa" w:w="120"/>
              <w:bottom w:type="dxa" w:w="90"/>
              <w:right w:type="dxa" w:w="120"/>
            </w:tcMar>
          </w:tcPr>
          <w:p>
            <w:r>
              <w:rPr>
                <w:color w:val="1A1A1A"/>
                <w:sz w:val="19"/>
                <w:szCs w:val="19"/>
              </w:rPr>
              <w:t xml:space="preserve">5.39</w:t>
            </w:r>
          </w:p>
        </w:tc>
        <w:tc>
          <w:tcPr>
            <w:tcW w:type="dxa" w:w="1000"/>
            <w:shd w:fill="F2F2F2" w:val="clear"/>
            <w:tcMar>
              <w:top w:type="dxa" w:w="90"/>
              <w:left w:type="dxa" w:w="120"/>
              <w:bottom w:type="dxa" w:w="90"/>
              <w:right w:type="dxa" w:w="120"/>
            </w:tcMar>
          </w:tcPr>
          <w:p>
            <w:r>
              <w:rPr>
                <w:color w:val="1A1A1A"/>
                <w:sz w:val="19"/>
                <w:szCs w:val="19"/>
              </w:rPr>
              <w:t xml:space="preserve">120</w:t>
            </w:r>
          </w:p>
        </w:tc>
      </w:tr>
      <w:tr>
        <w:tc>
          <w:tcPr>
            <w:tcW w:type="dxa" w:w="1400"/>
            <w:shd w:fill="FFFFFF" w:val="clear"/>
            <w:tcMar>
              <w:top w:type="dxa" w:w="90"/>
              <w:left w:type="dxa" w:w="120"/>
              <w:bottom w:type="dxa" w:w="90"/>
              <w:right w:type="dxa" w:w="120"/>
            </w:tcMar>
          </w:tcPr>
          <w:p>
            <w:r>
              <w:rPr>
                <w:color w:val="1A1A1A"/>
                <w:sz w:val="19"/>
                <w:szCs w:val="19"/>
              </w:rPr>
              <w:t xml:space="preserve">2022</w:t>
            </w:r>
          </w:p>
        </w:tc>
        <w:tc>
          <w:tcPr>
            <w:tcW w:type="dxa" w:w="2200"/>
            <w:shd w:fill="FFFFFF" w:val="clear"/>
            <w:tcMar>
              <w:top w:type="dxa" w:w="90"/>
              <w:left w:type="dxa" w:w="120"/>
              <w:bottom w:type="dxa" w:w="90"/>
              <w:right w:type="dxa" w:w="120"/>
            </w:tcMar>
          </w:tcPr>
          <w:p>
            <w:r>
              <w:rPr>
                <w:color w:val="1A1A1A"/>
                <w:sz w:val="19"/>
                <w:szCs w:val="19"/>
              </w:rPr>
              <w:t xml:space="preserve">Kansas City</w:t>
            </w:r>
          </w:p>
        </w:tc>
        <w:tc>
          <w:tcPr>
            <w:tcW w:type="dxa" w:w="1700"/>
            <w:shd w:fill="FFFFFF" w:val="clear"/>
            <w:tcMar>
              <w:top w:type="dxa" w:w="90"/>
              <w:left w:type="dxa" w:w="120"/>
              <w:bottom w:type="dxa" w:w="90"/>
              <w:right w:type="dxa" w:w="120"/>
            </w:tcMar>
          </w:tcPr>
          <w:p>
            <w:r>
              <w:rPr>
                <w:color w:val="1A1A1A"/>
                <w:sz w:val="19"/>
                <w:szCs w:val="19"/>
              </w:rPr>
              <w:t xml:space="preserve">Starter/RP</w:t>
            </w:r>
          </w:p>
        </w:tc>
        <w:tc>
          <w:tcPr>
            <w:tcW w:type="dxa" w:w="1300"/>
            <w:shd w:fill="FFFFFF" w:val="clear"/>
            <w:tcMar>
              <w:top w:type="dxa" w:w="90"/>
              <w:left w:type="dxa" w:w="120"/>
              <w:bottom w:type="dxa" w:w="90"/>
              <w:right w:type="dxa" w:w="120"/>
            </w:tcMar>
          </w:tcPr>
          <w:p>
            <w:r>
              <w:rPr>
                <w:color w:val="1A1A1A"/>
                <w:sz w:val="19"/>
                <w:szCs w:val="19"/>
              </w:rPr>
              <w:t xml:space="preserve">35 (22)</w:t>
            </w:r>
          </w:p>
        </w:tc>
        <w:tc>
          <w:tcPr>
            <w:tcW w:type="dxa" w:w="1660"/>
            <w:shd w:fill="FFFFFF" w:val="clear"/>
            <w:tcMar>
              <w:top w:type="dxa" w:w="90"/>
              <w:left w:type="dxa" w:w="120"/>
              <w:bottom w:type="dxa" w:w="90"/>
              <w:right w:type="dxa" w:w="120"/>
            </w:tcMar>
          </w:tcPr>
          <w:p>
            <w:r>
              <w:rPr>
                <w:color w:val="1A1A1A"/>
                <w:sz w:val="19"/>
                <w:szCs w:val="19"/>
              </w:rPr>
              <w:t xml:space="preserve">139.2</w:t>
            </w:r>
          </w:p>
        </w:tc>
        <w:tc>
          <w:tcPr>
            <w:tcW w:type="dxa" w:w="1100"/>
            <w:shd w:fill="FFFFFF" w:val="clear"/>
            <w:tcMar>
              <w:top w:type="dxa" w:w="90"/>
              <w:left w:type="dxa" w:w="120"/>
              <w:bottom w:type="dxa" w:w="90"/>
              <w:right w:type="dxa" w:w="120"/>
            </w:tcMar>
          </w:tcPr>
          <w:p>
            <w:r>
              <w:rPr>
                <w:color w:val="1A1A1A"/>
                <w:sz w:val="19"/>
                <w:szCs w:val="19"/>
              </w:rPr>
              <w:t xml:space="preserve">5.09</w:t>
            </w:r>
          </w:p>
        </w:tc>
        <w:tc>
          <w:tcPr>
            <w:tcW w:type="dxa" w:w="1000"/>
            <w:shd w:fill="FFFFFF" w:val="clear"/>
            <w:tcMar>
              <w:top w:type="dxa" w:w="90"/>
              <w:left w:type="dxa" w:w="120"/>
              <w:bottom w:type="dxa" w:w="90"/>
              <w:right w:type="dxa" w:w="120"/>
            </w:tcMar>
          </w:tcPr>
          <w:p>
            <w:r>
              <w:rPr>
                <w:color w:val="1A1A1A"/>
                <w:sz w:val="19"/>
                <w:szCs w:val="19"/>
              </w:rPr>
              <w:t xml:space="preserve">102</w:t>
            </w:r>
          </w:p>
        </w:tc>
      </w:tr>
      <w:tr>
        <w:tc>
          <w:tcPr>
            <w:tcW w:type="dxa" w:w="1400"/>
            <w:shd w:fill="F2F2F2" w:val="clear"/>
            <w:tcMar>
              <w:top w:type="dxa" w:w="90"/>
              <w:left w:type="dxa" w:w="120"/>
              <w:bottom w:type="dxa" w:w="90"/>
              <w:right w:type="dxa" w:w="120"/>
            </w:tcMar>
          </w:tcPr>
          <w:p>
            <w:r>
              <w:rPr>
                <w:color w:val="1A1A1A"/>
                <w:sz w:val="19"/>
                <w:szCs w:val="19"/>
              </w:rPr>
              <w:t xml:space="preserve">2023</w:t>
            </w:r>
          </w:p>
        </w:tc>
        <w:tc>
          <w:tcPr>
            <w:tcW w:type="dxa" w:w="2200"/>
            <w:shd w:fill="F2F2F2" w:val="clear"/>
            <w:tcMar>
              <w:top w:type="dxa" w:w="90"/>
              <w:left w:type="dxa" w:w="120"/>
              <w:bottom w:type="dxa" w:w="90"/>
              <w:right w:type="dxa" w:w="120"/>
            </w:tcMar>
          </w:tcPr>
          <w:p>
            <w:r>
              <w:rPr>
                <w:color w:val="1A1A1A"/>
                <w:sz w:val="19"/>
                <w:szCs w:val="19"/>
              </w:rPr>
              <w:t xml:space="preserve">Kansas City</w:t>
            </w:r>
          </w:p>
        </w:tc>
        <w:tc>
          <w:tcPr>
            <w:tcW w:type="dxa" w:w="1700"/>
            <w:shd w:fill="F2F2F2" w:val="clear"/>
            <w:tcMar>
              <w:top w:type="dxa" w:w="90"/>
              <w:left w:type="dxa" w:w="120"/>
              <w:bottom w:type="dxa" w:w="90"/>
              <w:right w:type="dxa" w:w="120"/>
            </w:tcMar>
          </w:tcPr>
          <w:p>
            <w:r>
              <w:rPr>
                <w:color w:val="1A1A1A"/>
                <w:sz w:val="19"/>
                <w:szCs w:val="19"/>
              </w:rPr>
              <w:t xml:space="preserve">Starter</w:t>
            </w:r>
          </w:p>
        </w:tc>
        <w:tc>
          <w:tcPr>
            <w:tcW w:type="dxa" w:w="1300"/>
            <w:shd w:fill="F2F2F2" w:val="clear"/>
            <w:tcMar>
              <w:top w:type="dxa" w:w="90"/>
              <w:left w:type="dxa" w:w="120"/>
              <w:bottom w:type="dxa" w:w="90"/>
              <w:right w:type="dxa" w:w="120"/>
            </w:tcMar>
          </w:tcPr>
          <w:p>
            <w:r>
              <w:rPr>
                <w:color w:val="1A1A1A"/>
                <w:sz w:val="19"/>
                <w:szCs w:val="19"/>
              </w:rPr>
              <w:t xml:space="preserve">11 (9)</w:t>
            </w:r>
          </w:p>
        </w:tc>
        <w:tc>
          <w:tcPr>
            <w:tcW w:type="dxa" w:w="1660"/>
            <w:shd w:fill="F2F2F2" w:val="clear"/>
            <w:tcMar>
              <w:top w:type="dxa" w:w="90"/>
              <w:left w:type="dxa" w:w="120"/>
              <w:bottom w:type="dxa" w:w="90"/>
              <w:right w:type="dxa" w:w="120"/>
            </w:tcMar>
          </w:tcPr>
          <w:p>
            <w:r>
              <w:rPr>
                <w:color w:val="1A1A1A"/>
                <w:sz w:val="19"/>
                <w:szCs w:val="19"/>
              </w:rPr>
              <w:t xml:space="preserve">Limited (IL, shoulder)</w:t>
            </w:r>
          </w:p>
        </w:tc>
        <w:tc>
          <w:tcPr>
            <w:tcW w:type="dxa" w:w="1100"/>
            <w:shd w:fill="F2F2F2" w:val="clear"/>
            <w:tcMar>
              <w:top w:type="dxa" w:w="90"/>
              <w:left w:type="dxa" w:w="120"/>
              <w:bottom w:type="dxa" w:w="90"/>
              <w:right w:type="dxa" w:w="120"/>
            </w:tcMar>
          </w:tcPr>
          <w:p>
            <w:r>
              <w:rPr>
                <w:color w:val="1A1A1A"/>
                <w:sz w:val="19"/>
                <w:szCs w:val="19"/>
              </w:rPr>
              <w:t xml:space="preserve">—</w:t>
            </w:r>
          </w:p>
        </w:tc>
        <w:tc>
          <w:tcPr>
            <w:tcW w:type="dxa" w:w="1000"/>
            <w:shd w:fill="F2F2F2" w:val="clear"/>
            <w:tcMar>
              <w:top w:type="dxa" w:w="90"/>
              <w:left w:type="dxa" w:w="120"/>
              <w:bottom w:type="dxa" w:w="90"/>
              <w:right w:type="dxa" w:w="120"/>
            </w:tcMar>
          </w:tcPr>
          <w:p>
            <w:r>
              <w:rPr>
                <w:color w:val="1A1A1A"/>
                <w:sz w:val="19"/>
                <w:szCs w:val="19"/>
              </w:rPr>
              <w:t xml:space="preserve">—</w:t>
            </w:r>
          </w:p>
        </w:tc>
      </w:tr>
      <w:tr>
        <w:tc>
          <w:tcPr>
            <w:tcW w:type="dxa" w:w="1400"/>
            <w:shd w:fill="FFFFFF" w:val="clear"/>
            <w:tcMar>
              <w:top w:type="dxa" w:w="90"/>
              <w:left w:type="dxa" w:w="120"/>
              <w:bottom w:type="dxa" w:w="90"/>
              <w:right w:type="dxa" w:w="120"/>
            </w:tcMar>
          </w:tcPr>
          <w:p>
            <w:r>
              <w:rPr>
                <w:color w:val="1A1A1A"/>
                <w:sz w:val="19"/>
                <w:szCs w:val="19"/>
              </w:rPr>
              <w:t xml:space="preserve">2024</w:t>
            </w:r>
          </w:p>
        </w:tc>
        <w:tc>
          <w:tcPr>
            <w:tcW w:type="dxa" w:w="2200"/>
            <w:shd w:fill="FFFFFF" w:val="clear"/>
            <w:tcMar>
              <w:top w:type="dxa" w:w="90"/>
              <w:left w:type="dxa" w:w="120"/>
              <w:bottom w:type="dxa" w:w="90"/>
              <w:right w:type="dxa" w:w="120"/>
            </w:tcMar>
          </w:tcPr>
          <w:p>
            <w:r>
              <w:rPr>
                <w:color w:val="1A1A1A"/>
                <w:sz w:val="19"/>
                <w:szCs w:val="19"/>
              </w:rPr>
              <w:t xml:space="preserve">CWS / Boston</w:t>
            </w:r>
          </w:p>
        </w:tc>
        <w:tc>
          <w:tcPr>
            <w:tcW w:type="dxa" w:w="1700"/>
            <w:shd w:fill="FFFFFF" w:val="clear"/>
            <w:tcMar>
              <w:top w:type="dxa" w:w="90"/>
              <w:left w:type="dxa" w:w="120"/>
              <w:bottom w:type="dxa" w:w="90"/>
              <w:right w:type="dxa" w:w="120"/>
            </w:tcMar>
          </w:tcPr>
          <w:p>
            <w:r>
              <w:rPr>
                <w:color w:val="1A1A1A"/>
                <w:sz w:val="19"/>
                <w:szCs w:val="19"/>
              </w:rPr>
              <w:t xml:space="preserve">Starter/RP</w:t>
            </w:r>
          </w:p>
        </w:tc>
        <w:tc>
          <w:tcPr>
            <w:tcW w:type="dxa" w:w="1300"/>
            <w:shd w:fill="FFFFFF" w:val="clear"/>
            <w:tcMar>
              <w:top w:type="dxa" w:w="90"/>
              <w:left w:type="dxa" w:w="120"/>
              <w:bottom w:type="dxa" w:w="90"/>
              <w:right w:type="dxa" w:w="120"/>
            </w:tcMar>
          </w:tcPr>
          <w:p>
            <w:r>
              <w:rPr>
                <w:color w:val="1A1A1A"/>
                <w:sz w:val="19"/>
                <w:szCs w:val="19"/>
              </w:rPr>
              <w:t xml:space="preserve">—</w:t>
            </w:r>
          </w:p>
        </w:tc>
        <w:tc>
          <w:tcPr>
            <w:tcW w:type="dxa" w:w="1660"/>
            <w:shd w:fill="FFFFFF" w:val="clear"/>
            <w:tcMar>
              <w:top w:type="dxa" w:w="90"/>
              <w:left w:type="dxa" w:w="120"/>
              <w:bottom w:type="dxa" w:w="90"/>
              <w:right w:type="dxa" w:w="120"/>
            </w:tcMar>
          </w:tcPr>
          <w:p>
            <w:r>
              <w:rPr>
                <w:color w:val="1A1A1A"/>
                <w:sz w:val="19"/>
                <w:szCs w:val="19"/>
              </w:rPr>
              <w:t xml:space="preserve">41.1</w:t>
            </w:r>
          </w:p>
        </w:tc>
        <w:tc>
          <w:tcPr>
            <w:tcW w:type="dxa" w:w="1100"/>
            <w:shd w:fill="FFFFFF" w:val="clear"/>
            <w:tcMar>
              <w:top w:type="dxa" w:w="90"/>
              <w:left w:type="dxa" w:w="120"/>
              <w:bottom w:type="dxa" w:w="90"/>
              <w:right w:type="dxa" w:w="120"/>
            </w:tcMar>
          </w:tcPr>
          <w:p>
            <w:r>
              <w:rPr>
                <w:color w:val="1A1A1A"/>
                <w:sz w:val="19"/>
                <w:szCs w:val="19"/>
              </w:rPr>
              <w:t xml:space="preserve">5.44</w:t>
            </w:r>
          </w:p>
        </w:tc>
        <w:tc>
          <w:tcPr>
            <w:tcW w:type="dxa" w:w="1000"/>
            <w:shd w:fill="FFFFFF" w:val="clear"/>
            <w:tcMar>
              <w:top w:type="dxa" w:w="90"/>
              <w:left w:type="dxa" w:w="120"/>
              <w:bottom w:type="dxa" w:w="90"/>
              <w:right w:type="dxa" w:w="120"/>
            </w:tcMar>
          </w:tcPr>
          <w:p>
            <w:r>
              <w:rPr>
                <w:color w:val="1A1A1A"/>
                <w:sz w:val="19"/>
                <w:szCs w:val="19"/>
              </w:rPr>
              <w:t xml:space="preserve">—</w:t>
            </w:r>
          </w:p>
        </w:tc>
      </w:tr>
      <w:tr>
        <w:tc>
          <w:tcPr>
            <w:tcW w:type="dxa" w:w="1400"/>
            <w:shd w:fill="F2F2F2" w:val="clear"/>
            <w:tcMar>
              <w:top w:type="dxa" w:w="90"/>
              <w:left w:type="dxa" w:w="120"/>
              <w:bottom w:type="dxa" w:w="90"/>
              <w:right w:type="dxa" w:w="120"/>
            </w:tcMar>
          </w:tcPr>
          <w:p>
            <w:r>
              <w:rPr>
                <w:color w:val="1A1A1A"/>
                <w:sz w:val="19"/>
                <w:szCs w:val="19"/>
              </w:rPr>
              <w:t xml:space="preserve">2025</w:t>
            </w:r>
          </w:p>
        </w:tc>
        <w:tc>
          <w:tcPr>
            <w:tcW w:type="dxa" w:w="2200"/>
            <w:shd w:fill="F2F2F2" w:val="clear"/>
            <w:tcMar>
              <w:top w:type="dxa" w:w="90"/>
              <w:left w:type="dxa" w:w="120"/>
              <w:bottom w:type="dxa" w:w="90"/>
              <w:right w:type="dxa" w:w="120"/>
            </w:tcMar>
          </w:tcPr>
          <w:p>
            <w:r>
              <w:rPr>
                <w:color w:val="1A1A1A"/>
                <w:sz w:val="19"/>
                <w:szCs w:val="19"/>
              </w:rPr>
              <w:t xml:space="preserve">Chicago Cubs</w:t>
            </w:r>
          </w:p>
        </w:tc>
        <w:tc>
          <w:tcPr>
            <w:tcW w:type="dxa" w:w="1700"/>
            <w:shd w:fill="F2F2F2" w:val="clear"/>
            <w:tcMar>
              <w:top w:type="dxa" w:w="90"/>
              <w:left w:type="dxa" w:w="120"/>
              <w:bottom w:type="dxa" w:w="90"/>
              <w:right w:type="dxa" w:w="120"/>
            </w:tcMar>
          </w:tcPr>
          <w:p>
            <w:r>
              <w:rPr>
                <w:color w:val="1A1A1A"/>
                <w:sz w:val="19"/>
                <w:szCs w:val="19"/>
              </w:rPr>
              <w:t xml:space="preserve">Reliever</w:t>
            </w:r>
          </w:p>
        </w:tc>
        <w:tc>
          <w:tcPr>
            <w:tcW w:type="dxa" w:w="1300"/>
            <w:shd w:fill="F2F2F2" w:val="clear"/>
            <w:tcMar>
              <w:top w:type="dxa" w:w="90"/>
              <w:left w:type="dxa" w:w="120"/>
              <w:bottom w:type="dxa" w:w="90"/>
              <w:right w:type="dxa" w:w="120"/>
            </w:tcMar>
          </w:tcPr>
          <w:p>
            <w:r>
              <w:rPr>
                <w:color w:val="1A1A1A"/>
                <w:sz w:val="19"/>
                <w:szCs w:val="19"/>
              </w:rPr>
              <w:t xml:space="preserve">68 (1)</w:t>
            </w:r>
          </w:p>
        </w:tc>
        <w:tc>
          <w:tcPr>
            <w:tcW w:type="dxa" w:w="1660"/>
            <w:shd w:fill="F2F2F2" w:val="clear"/>
            <w:tcMar>
              <w:top w:type="dxa" w:w="90"/>
              <w:left w:type="dxa" w:w="120"/>
              <w:bottom w:type="dxa" w:w="90"/>
              <w:right w:type="dxa" w:w="120"/>
            </w:tcMar>
          </w:tcPr>
          <w:p>
            <w:r>
              <w:rPr>
                <w:color w:val="1A1A1A"/>
                <w:sz w:val="19"/>
                <w:szCs w:val="19"/>
              </w:rPr>
              <w:t xml:space="preserve">69.2</w:t>
            </w:r>
          </w:p>
        </w:tc>
        <w:tc>
          <w:tcPr>
            <w:tcW w:type="dxa" w:w="1100"/>
            <w:shd w:fill="F2F2F2" w:val="clear"/>
            <w:tcMar>
              <w:top w:type="dxa" w:w="90"/>
              <w:left w:type="dxa" w:w="120"/>
              <w:bottom w:type="dxa" w:w="90"/>
              <w:right w:type="dxa" w:w="120"/>
            </w:tcMar>
          </w:tcPr>
          <w:p>
            <w:r>
              <w:rPr>
                <w:color w:val="1A1A1A"/>
                <w:sz w:val="19"/>
                <w:szCs w:val="19"/>
              </w:rPr>
              <w:t xml:space="preserve">2.07</w:t>
            </w:r>
          </w:p>
        </w:tc>
        <w:tc>
          <w:tcPr>
            <w:tcW w:type="dxa" w:w="1000"/>
            <w:shd w:fill="F2F2F2" w:val="clear"/>
            <w:tcMar>
              <w:top w:type="dxa" w:w="90"/>
              <w:left w:type="dxa" w:w="120"/>
              <w:bottom w:type="dxa" w:w="90"/>
              <w:right w:type="dxa" w:w="120"/>
            </w:tcMar>
          </w:tcPr>
          <w:p>
            <w:r>
              <w:rPr>
                <w:color w:val="1A1A1A"/>
                <w:sz w:val="19"/>
                <w:szCs w:val="19"/>
              </w:rPr>
              <w:t xml:space="preserve">75</w:t>
            </w:r>
          </w:p>
        </w:tc>
      </w:tr>
    </w:tbl>
    <w:p>
      <w:pPr>
        <w:spacing w:after="260" w:before="60"/>
      </w:pPr>
      <w:r>
        <w:rPr>
          <w:i/>
          <w:iCs/>
          <w:color w:val="5A5A5A"/>
          <w:sz w:val="18"/>
          <w:szCs w:val="18"/>
        </w:rPr>
        <w:t xml:space="preserve">Figure 2. Career progression, Kansas City Royals (2018–2023) through the 2025 Cubs breakout season. Career totals through 2025: 234 games, 4.14 ERA, 5 saves (3 in 2025).</w:t>
      </w:r>
    </w:p>
    <w:p>
      <w:pPr>
        <w:spacing w:after="60" w:before="120"/>
        <w:jc w:val="center"/>
      </w:pPr>
      <w:r>
        <w:drawing>
          <wp:inline distT="0" distB="0" distL="0" distR="0">
            <wp:extent cx="5334000" cy="260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600325"/>
                    </a:xfrm>
                    <a:prstGeom prst="rect">
                      <a:avLst/>
                    </a:prstGeom>
                  </pic:spPr>
                </pic:pic>
              </a:graphicData>
            </a:graphic>
          </wp:inline>
        </w:drawing>
      </w:r>
    </w:p>
    <w:p>
      <w:pPr>
        <w:spacing w:after="260" w:before="60"/>
      </w:pPr>
      <w:r>
        <w:rPr>
          <w:i/>
          <w:iCs/>
          <w:color w:val="5A5A5A"/>
          <w:sz w:val="18"/>
          <w:szCs w:val="18"/>
        </w:rPr>
        <w:t xml:space="preserve">Figure 3. ERA by season. The 2023 gap reflects a season cut short by a shoulder impingement and subsequent thoracic outlet syndrome (TOS) surgery.</w:t>
      </w:r>
    </w:p>
    <w:p>
      <w:pPr>
        <w:spacing w:after="160" w:line="276"/>
      </w:pPr>
      <w:r>
        <w:rPr>
          <w:color w:val="1A1A1A"/>
          <w:sz w:val="22"/>
          <w:szCs w:val="22"/>
        </w:rPr>
        <w:t xml:space="preserve">That injury and performance history depressed Keller's market to almost nothing entering 2025. Rather than a guaranteed major-league deal, he accepted a minor-league contract with a spring-training invite — effectively a no-risk, upside-only flier for the Cubs, and a signal that the open market placed close to replacement-level value on him at that point in his career.</w:t>
      </w:r>
    </w:p>
    <w:p>
      <w:pPr>
        <w:pStyle w:val="Heading2"/>
        <w:spacing w:after="150" w:before="300"/>
      </w:pPr>
      <w:r>
        <w:t xml:space="preserve">1.2 A Closer Look at 2024: White Sox and Red Sox</w:t>
      </w:r>
    </w:p>
    <w:p>
      <w:pPr>
        <w:spacing w:after="160" w:line="276"/>
      </w:pPr>
      <w:r>
        <w:rPr>
          <w:color w:val="1A1A1A"/>
          <w:sz w:val="22"/>
          <w:szCs w:val="22"/>
        </w:rPr>
        <w:t xml:space="preserve">The 2024 season — the year immediately preceding his breakout — was itself a story of two brief, unsuccessful major-league stints sandwiched around minor-league detours. Keller signed a minor-league deal with the White Sox in March 2024, opened the year at Triple-A Charlotte, and was called up April 28. He was briefly inserted into Chicago's rotation in mid-May before struggling and being designated for assignment on May 20. After electing free agency, he signed with the Red Sox on May 26 and worked exclusively in relief, but was again unable to find consistent success at the major-league level before finishing the year with a second Triple-A stint at Worcester.</w:t>
      </w:r>
    </w:p>
    <w:tbl>
      <w:tblPr>
        <w:tblW w:type="dxa" w:w="10360"/>
        <w:tblBorders>
          <w:top w:val="single" w:color="auto" w:sz="4"/>
          <w:left w:val="single" w:color="auto" w:sz="4"/>
          <w:bottom w:val="single" w:color="auto" w:sz="4"/>
          <w:right w:val="single" w:color="auto" w:sz="4"/>
          <w:insideH w:val="single" w:color="auto" w:sz="4"/>
          <w:insideV w:val="single" w:color="auto" w:sz="4"/>
        </w:tblBorders>
      </w:tblPr>
      <w:tblGrid>
        <w:gridCol w:w="2100"/>
        <w:gridCol w:w="1900"/>
        <w:gridCol w:w="1750"/>
        <w:gridCol w:w="1000"/>
        <w:gridCol w:w="900"/>
        <w:gridCol w:w="900"/>
        <w:gridCol w:w="1810"/>
      </w:tblGrid>
      <w:tr>
        <w:trPr>
          <w:tblHeader/>
        </w:trPr>
        <w:tc>
          <w:tcPr>
            <w:tcW w:type="dxa" w:w="2100"/>
            <w:shd w:fill="0E3386" w:val="clear"/>
            <w:tcMar>
              <w:top w:type="dxa" w:w="100"/>
              <w:left w:type="dxa" w:w="120"/>
              <w:bottom w:type="dxa" w:w="100"/>
              <w:right w:type="dxa" w:w="120"/>
            </w:tcMar>
          </w:tcPr>
          <w:p>
            <w:r>
              <w:rPr>
                <w:b/>
                <w:bCs/>
                <w:color w:val="FFFFFF"/>
                <w:sz w:val="19"/>
                <w:szCs w:val="19"/>
              </w:rPr>
              <w:t xml:space="preserve">Stop</w:t>
            </w:r>
          </w:p>
        </w:tc>
        <w:tc>
          <w:tcPr>
            <w:tcW w:type="dxa" w:w="1900"/>
            <w:shd w:fill="0E3386" w:val="clear"/>
            <w:tcMar>
              <w:top w:type="dxa" w:w="100"/>
              <w:left w:type="dxa" w:w="120"/>
              <w:bottom w:type="dxa" w:w="100"/>
              <w:right w:type="dxa" w:w="120"/>
            </w:tcMar>
          </w:tcPr>
          <w:p>
            <w:r>
              <w:rPr>
                <w:b/>
                <w:bCs/>
                <w:color w:val="FFFFFF"/>
                <w:sz w:val="19"/>
                <w:szCs w:val="19"/>
              </w:rPr>
              <w:t xml:space="preserve">Dates</w:t>
            </w:r>
          </w:p>
        </w:tc>
        <w:tc>
          <w:tcPr>
            <w:tcW w:type="dxa" w:w="1750"/>
            <w:shd w:fill="0E3386" w:val="clear"/>
            <w:tcMar>
              <w:top w:type="dxa" w:w="100"/>
              <w:left w:type="dxa" w:w="120"/>
              <w:bottom w:type="dxa" w:w="100"/>
              <w:right w:type="dxa" w:w="120"/>
            </w:tcMar>
          </w:tcPr>
          <w:p>
            <w:r>
              <w:rPr>
                <w:b/>
                <w:bCs/>
                <w:color w:val="FFFFFF"/>
                <w:sz w:val="19"/>
                <w:szCs w:val="19"/>
              </w:rPr>
              <w:t xml:space="preserve">Role</w:t>
            </w:r>
          </w:p>
        </w:tc>
        <w:tc>
          <w:tcPr>
            <w:tcW w:type="dxa" w:w="1000"/>
            <w:shd w:fill="0E3386" w:val="clear"/>
            <w:tcMar>
              <w:top w:type="dxa" w:w="100"/>
              <w:left w:type="dxa" w:w="120"/>
              <w:bottom w:type="dxa" w:w="100"/>
              <w:right w:type="dxa" w:w="120"/>
            </w:tcMar>
          </w:tcPr>
          <w:p>
            <w:r>
              <w:rPr>
                <w:b/>
                <w:bCs/>
                <w:color w:val="FFFFFF"/>
                <w:sz w:val="19"/>
                <w:szCs w:val="19"/>
              </w:rPr>
              <w:t xml:space="preserve">G (GS)</w:t>
            </w:r>
          </w:p>
        </w:tc>
        <w:tc>
          <w:tcPr>
            <w:tcW w:type="dxa" w:w="900"/>
            <w:shd w:fill="0E3386" w:val="clear"/>
            <w:tcMar>
              <w:top w:type="dxa" w:w="100"/>
              <w:left w:type="dxa" w:w="120"/>
              <w:bottom w:type="dxa" w:w="100"/>
              <w:right w:type="dxa" w:w="120"/>
            </w:tcMar>
          </w:tcPr>
          <w:p>
            <w:r>
              <w:rPr>
                <w:b/>
                <w:bCs/>
                <w:color w:val="FFFFFF"/>
                <w:sz w:val="19"/>
                <w:szCs w:val="19"/>
              </w:rPr>
              <w:t xml:space="preserve">IP</w:t>
            </w:r>
          </w:p>
        </w:tc>
        <w:tc>
          <w:tcPr>
            <w:tcW w:type="dxa" w:w="900"/>
            <w:shd w:fill="0E3386" w:val="clear"/>
            <w:tcMar>
              <w:top w:type="dxa" w:w="100"/>
              <w:left w:type="dxa" w:w="120"/>
              <w:bottom w:type="dxa" w:w="100"/>
              <w:right w:type="dxa" w:w="120"/>
            </w:tcMar>
          </w:tcPr>
          <w:p>
            <w:r>
              <w:rPr>
                <w:b/>
                <w:bCs/>
                <w:color w:val="FFFFFF"/>
                <w:sz w:val="19"/>
                <w:szCs w:val="19"/>
              </w:rPr>
              <w:t xml:space="preserve">ERA</w:t>
            </w:r>
          </w:p>
        </w:tc>
        <w:tc>
          <w:tcPr>
            <w:tcW w:type="dxa" w:w="1810"/>
            <w:shd w:fill="0E3386" w:val="clear"/>
            <w:tcMar>
              <w:top w:type="dxa" w:w="100"/>
              <w:left w:type="dxa" w:w="120"/>
              <w:bottom w:type="dxa" w:w="100"/>
              <w:right w:type="dxa" w:w="120"/>
            </w:tcMar>
          </w:tcPr>
          <w:p>
            <w:r>
              <w:rPr>
                <w:b/>
                <w:bCs/>
                <w:color w:val="FFFFFF"/>
                <w:sz w:val="19"/>
                <w:szCs w:val="19"/>
              </w:rPr>
              <w:t xml:space="preserve">Result</w:t>
            </w:r>
          </w:p>
        </w:tc>
      </w:tr>
      <w:tr>
        <w:tc>
          <w:tcPr>
            <w:tcW w:type="dxa" w:w="2100"/>
            <w:shd w:fill="FFFFFF" w:val="clear"/>
            <w:tcMar>
              <w:top w:type="dxa" w:w="90"/>
              <w:left w:type="dxa" w:w="120"/>
              <w:bottom w:type="dxa" w:w="90"/>
              <w:right w:type="dxa" w:w="120"/>
            </w:tcMar>
          </w:tcPr>
          <w:p>
            <w:r>
              <w:rPr>
                <w:color w:val="1A1A1A"/>
                <w:sz w:val="19"/>
                <w:szCs w:val="19"/>
              </w:rPr>
              <w:t xml:space="preserve">White Sox (MLB)</w:t>
            </w:r>
          </w:p>
        </w:tc>
        <w:tc>
          <w:tcPr>
            <w:tcW w:type="dxa" w:w="1900"/>
            <w:shd w:fill="FFFFFF" w:val="clear"/>
            <w:tcMar>
              <w:top w:type="dxa" w:w="90"/>
              <w:left w:type="dxa" w:w="120"/>
              <w:bottom w:type="dxa" w:w="90"/>
              <w:right w:type="dxa" w:w="120"/>
            </w:tcMar>
          </w:tcPr>
          <w:p>
            <w:r>
              <w:rPr>
                <w:color w:val="1A1A1A"/>
                <w:sz w:val="19"/>
                <w:szCs w:val="19"/>
              </w:rPr>
              <w:t xml:space="preserve">Apr 28 – May 20</w:t>
            </w:r>
          </w:p>
        </w:tc>
        <w:tc>
          <w:tcPr>
            <w:tcW w:type="dxa" w:w="1750"/>
            <w:shd w:fill="FFFFFF" w:val="clear"/>
            <w:tcMar>
              <w:top w:type="dxa" w:w="90"/>
              <w:left w:type="dxa" w:w="120"/>
              <w:bottom w:type="dxa" w:w="90"/>
              <w:right w:type="dxa" w:w="120"/>
            </w:tcMar>
          </w:tcPr>
          <w:p>
            <w:r>
              <w:rPr>
                <w:color w:val="1A1A1A"/>
                <w:sz w:val="19"/>
                <w:szCs w:val="19"/>
              </w:rPr>
              <w:t xml:space="preserve">Rotation (mid-May)</w:t>
            </w:r>
          </w:p>
        </w:tc>
        <w:tc>
          <w:tcPr>
            <w:tcW w:type="dxa" w:w="1000"/>
            <w:shd w:fill="FFFFFF" w:val="clear"/>
            <w:tcMar>
              <w:top w:type="dxa" w:w="90"/>
              <w:left w:type="dxa" w:w="120"/>
              <w:bottom w:type="dxa" w:w="90"/>
              <w:right w:type="dxa" w:w="120"/>
            </w:tcMar>
          </w:tcPr>
          <w:p>
            <w:r>
              <w:rPr>
                <w:color w:val="1A1A1A"/>
                <w:sz w:val="19"/>
                <w:szCs w:val="19"/>
              </w:rPr>
              <w:t xml:space="preserve">5 (2)</w:t>
            </w:r>
          </w:p>
        </w:tc>
        <w:tc>
          <w:tcPr>
            <w:tcW w:type="dxa" w:w="900"/>
            <w:shd w:fill="FFFFFF" w:val="clear"/>
            <w:tcMar>
              <w:top w:type="dxa" w:w="90"/>
              <w:left w:type="dxa" w:w="120"/>
              <w:bottom w:type="dxa" w:w="90"/>
              <w:right w:type="dxa" w:w="120"/>
            </w:tcMar>
          </w:tcPr>
          <w:p>
            <w:r>
              <w:rPr>
                <w:color w:val="1A1A1A"/>
                <w:sz w:val="19"/>
                <w:szCs w:val="19"/>
              </w:rPr>
              <w:t xml:space="preserve">16.2</w:t>
            </w:r>
          </w:p>
        </w:tc>
        <w:tc>
          <w:tcPr>
            <w:tcW w:type="dxa" w:w="900"/>
            <w:shd w:fill="FFFFFF" w:val="clear"/>
            <w:tcMar>
              <w:top w:type="dxa" w:w="90"/>
              <w:left w:type="dxa" w:w="120"/>
              <w:bottom w:type="dxa" w:w="90"/>
              <w:right w:type="dxa" w:w="120"/>
            </w:tcMar>
          </w:tcPr>
          <w:p>
            <w:r>
              <w:rPr>
                <w:color w:val="1A1A1A"/>
                <w:sz w:val="19"/>
                <w:szCs w:val="19"/>
              </w:rPr>
              <w:t xml:space="preserve">4.86</w:t>
            </w:r>
          </w:p>
        </w:tc>
        <w:tc>
          <w:tcPr>
            <w:tcW w:type="dxa" w:w="1810"/>
            <w:shd w:fill="FFFFFF" w:val="clear"/>
            <w:tcMar>
              <w:top w:type="dxa" w:w="90"/>
              <w:left w:type="dxa" w:w="120"/>
              <w:bottom w:type="dxa" w:w="90"/>
              <w:right w:type="dxa" w:w="120"/>
            </w:tcMar>
          </w:tcPr>
          <w:p>
            <w:r>
              <w:rPr>
                <w:color w:val="1A1A1A"/>
                <w:sz w:val="19"/>
                <w:szCs w:val="19"/>
              </w:rPr>
              <w:t xml:space="preserve">Designated for assignment</w:t>
            </w:r>
          </w:p>
        </w:tc>
      </w:tr>
      <w:tr>
        <w:tc>
          <w:tcPr>
            <w:tcW w:type="dxa" w:w="2100"/>
            <w:shd w:fill="F2F2F2" w:val="clear"/>
            <w:tcMar>
              <w:top w:type="dxa" w:w="90"/>
              <w:left w:type="dxa" w:w="120"/>
              <w:bottom w:type="dxa" w:w="90"/>
              <w:right w:type="dxa" w:w="120"/>
            </w:tcMar>
          </w:tcPr>
          <w:p>
            <w:r>
              <w:rPr>
                <w:color w:val="1A1A1A"/>
                <w:sz w:val="19"/>
                <w:szCs w:val="19"/>
              </w:rPr>
              <w:t xml:space="preserve">Red Sox (MLB)</w:t>
            </w:r>
          </w:p>
        </w:tc>
        <w:tc>
          <w:tcPr>
            <w:tcW w:type="dxa" w:w="1900"/>
            <w:shd w:fill="F2F2F2" w:val="clear"/>
            <w:tcMar>
              <w:top w:type="dxa" w:w="90"/>
              <w:left w:type="dxa" w:w="120"/>
              <w:bottom w:type="dxa" w:w="90"/>
              <w:right w:type="dxa" w:w="120"/>
            </w:tcMar>
          </w:tcPr>
          <w:p>
            <w:r>
              <w:rPr>
                <w:color w:val="1A1A1A"/>
                <w:sz w:val="19"/>
                <w:szCs w:val="19"/>
              </w:rPr>
              <w:t xml:space="preserve">May 27 – Jun 23 stint*</w:t>
            </w:r>
          </w:p>
        </w:tc>
        <w:tc>
          <w:tcPr>
            <w:tcW w:type="dxa" w:w="1750"/>
            <w:shd w:fill="F2F2F2" w:val="clear"/>
            <w:tcMar>
              <w:top w:type="dxa" w:w="90"/>
              <w:left w:type="dxa" w:w="120"/>
              <w:bottom w:type="dxa" w:w="90"/>
              <w:right w:type="dxa" w:w="120"/>
            </w:tcMar>
          </w:tcPr>
          <w:p>
            <w:r>
              <w:rPr>
                <w:color w:val="1A1A1A"/>
                <w:sz w:val="19"/>
                <w:szCs w:val="19"/>
              </w:rPr>
              <w:t xml:space="preserve">Relief only</w:t>
            </w:r>
          </w:p>
        </w:tc>
        <w:tc>
          <w:tcPr>
            <w:tcW w:type="dxa" w:w="1000"/>
            <w:shd w:fill="F2F2F2" w:val="clear"/>
            <w:tcMar>
              <w:top w:type="dxa" w:w="90"/>
              <w:left w:type="dxa" w:w="120"/>
              <w:bottom w:type="dxa" w:w="90"/>
              <w:right w:type="dxa" w:w="120"/>
            </w:tcMar>
          </w:tcPr>
          <w:p>
            <w:r>
              <w:rPr>
                <w:color w:val="1A1A1A"/>
                <w:sz w:val="19"/>
                <w:szCs w:val="19"/>
              </w:rPr>
              <w:t xml:space="preserve">9 (0)</w:t>
            </w:r>
          </w:p>
        </w:tc>
        <w:tc>
          <w:tcPr>
            <w:tcW w:type="dxa" w:w="900"/>
            <w:shd w:fill="F2F2F2" w:val="clear"/>
            <w:tcMar>
              <w:top w:type="dxa" w:w="90"/>
              <w:left w:type="dxa" w:w="120"/>
              <w:bottom w:type="dxa" w:w="90"/>
              <w:right w:type="dxa" w:w="120"/>
            </w:tcMar>
          </w:tcPr>
          <w:p>
            <w:r>
              <w:rPr>
                <w:color w:val="1A1A1A"/>
                <w:sz w:val="19"/>
                <w:szCs w:val="19"/>
              </w:rPr>
              <w:t xml:space="preserve">16.2</w:t>
            </w:r>
          </w:p>
        </w:tc>
        <w:tc>
          <w:tcPr>
            <w:tcW w:type="dxa" w:w="900"/>
            <w:shd w:fill="F2F2F2" w:val="clear"/>
            <w:tcMar>
              <w:top w:type="dxa" w:w="90"/>
              <w:left w:type="dxa" w:w="120"/>
              <w:bottom w:type="dxa" w:w="90"/>
              <w:right w:type="dxa" w:w="120"/>
            </w:tcMar>
          </w:tcPr>
          <w:p>
            <w:r>
              <w:rPr>
                <w:color w:val="1A1A1A"/>
                <w:sz w:val="19"/>
                <w:szCs w:val="19"/>
              </w:rPr>
              <w:t xml:space="preserve">5.40</w:t>
            </w:r>
          </w:p>
        </w:tc>
        <w:tc>
          <w:tcPr>
            <w:tcW w:type="dxa" w:w="1810"/>
            <w:shd w:fill="F2F2F2" w:val="clear"/>
            <w:tcMar>
              <w:top w:type="dxa" w:w="90"/>
              <w:left w:type="dxa" w:w="120"/>
              <w:bottom w:type="dxa" w:w="90"/>
              <w:right w:type="dxa" w:w="120"/>
            </w:tcMar>
          </w:tcPr>
          <w:p>
            <w:r>
              <w:rPr>
                <w:color w:val="1A1A1A"/>
                <w:sz w:val="19"/>
                <w:szCs w:val="19"/>
              </w:rPr>
              <w:t xml:space="preserve">1 SV (Jun 13 vs. PHI)</w:t>
            </w:r>
          </w:p>
        </w:tc>
      </w:tr>
      <w:tr>
        <w:tc>
          <w:tcPr>
            <w:tcW w:type="dxa" w:w="2100"/>
            <w:shd w:fill="FFFFFF" w:val="clear"/>
            <w:tcMar>
              <w:top w:type="dxa" w:w="90"/>
              <w:left w:type="dxa" w:w="120"/>
              <w:bottom w:type="dxa" w:w="90"/>
              <w:right w:type="dxa" w:w="120"/>
            </w:tcMar>
          </w:tcPr>
          <w:p>
            <w:r>
              <w:rPr>
                <w:color w:val="1A1A1A"/>
                <w:sz w:val="19"/>
                <w:szCs w:val="19"/>
              </w:rPr>
              <w:t xml:space="preserve">Triple-A (both orgs)</w:t>
            </w:r>
          </w:p>
        </w:tc>
        <w:tc>
          <w:tcPr>
            <w:tcW w:type="dxa" w:w="1900"/>
            <w:shd w:fill="FFFFFF" w:val="clear"/>
            <w:tcMar>
              <w:top w:type="dxa" w:w="90"/>
              <w:left w:type="dxa" w:w="120"/>
              <w:bottom w:type="dxa" w:w="90"/>
              <w:right w:type="dxa" w:w="120"/>
            </w:tcMar>
          </w:tcPr>
          <w:p>
            <w:r>
              <w:rPr>
                <w:color w:val="1A1A1A"/>
                <w:sz w:val="19"/>
                <w:szCs w:val="19"/>
              </w:rPr>
              <w:t xml:space="preserve">Full season</w:t>
            </w:r>
          </w:p>
        </w:tc>
        <w:tc>
          <w:tcPr>
            <w:tcW w:type="dxa" w:w="1750"/>
            <w:shd w:fill="FFFFFF" w:val="clear"/>
            <w:tcMar>
              <w:top w:type="dxa" w:w="90"/>
              <w:left w:type="dxa" w:w="120"/>
              <w:bottom w:type="dxa" w:w="90"/>
              <w:right w:type="dxa" w:w="120"/>
            </w:tcMar>
          </w:tcPr>
          <w:p>
            <w:r>
              <w:rPr>
                <w:color w:val="1A1A1A"/>
                <w:sz w:val="19"/>
                <w:szCs w:val="19"/>
              </w:rPr>
              <w:t xml:space="preserve">Mixed</w:t>
            </w:r>
          </w:p>
        </w:tc>
        <w:tc>
          <w:tcPr>
            <w:tcW w:type="dxa" w:w="1000"/>
            <w:shd w:fill="FFFFFF" w:val="clear"/>
            <w:tcMar>
              <w:top w:type="dxa" w:w="90"/>
              <w:left w:type="dxa" w:w="120"/>
              <w:bottom w:type="dxa" w:w="90"/>
              <w:right w:type="dxa" w:w="120"/>
            </w:tcMar>
          </w:tcPr>
          <w:p>
            <w:r>
              <w:rPr>
                <w:color w:val="1A1A1A"/>
                <w:sz w:val="19"/>
                <w:szCs w:val="19"/>
              </w:rPr>
              <w:t xml:space="preserve">16 (13)</w:t>
            </w:r>
          </w:p>
        </w:tc>
        <w:tc>
          <w:tcPr>
            <w:tcW w:type="dxa" w:w="900"/>
            <w:shd w:fill="FFFFFF" w:val="clear"/>
            <w:tcMar>
              <w:top w:type="dxa" w:w="90"/>
              <w:left w:type="dxa" w:w="120"/>
              <w:bottom w:type="dxa" w:w="90"/>
              <w:right w:type="dxa" w:w="120"/>
            </w:tcMar>
          </w:tcPr>
          <w:p>
            <w:r>
              <w:rPr>
                <w:color w:val="1A1A1A"/>
                <w:sz w:val="19"/>
                <w:szCs w:val="19"/>
              </w:rPr>
              <w:t xml:space="preserve">68.2</w:t>
            </w:r>
          </w:p>
        </w:tc>
        <w:tc>
          <w:tcPr>
            <w:tcW w:type="dxa" w:w="900"/>
            <w:shd w:fill="FFFFFF" w:val="clear"/>
            <w:tcMar>
              <w:top w:type="dxa" w:w="90"/>
              <w:left w:type="dxa" w:w="120"/>
              <w:bottom w:type="dxa" w:w="90"/>
              <w:right w:type="dxa" w:w="120"/>
            </w:tcMar>
          </w:tcPr>
          <w:p>
            <w:r>
              <w:rPr>
                <w:color w:val="1A1A1A"/>
                <w:sz w:val="19"/>
                <w:szCs w:val="19"/>
              </w:rPr>
              <w:t xml:space="preserve">3.28</w:t>
            </w:r>
          </w:p>
        </w:tc>
        <w:tc>
          <w:tcPr>
            <w:tcW w:type="dxa" w:w="1810"/>
            <w:shd w:fill="FFFFFF" w:val="clear"/>
            <w:tcMar>
              <w:top w:type="dxa" w:w="90"/>
              <w:left w:type="dxa" w:w="120"/>
              <w:bottom w:type="dxa" w:w="90"/>
              <w:right w:type="dxa" w:w="120"/>
            </w:tcMar>
          </w:tcPr>
          <w:p>
            <w:r>
              <w:rPr>
                <w:color w:val="1A1A1A"/>
                <w:sz w:val="19"/>
                <w:szCs w:val="19"/>
              </w:rPr>
              <w:t xml:space="preserve">4-4 record</w:t>
            </w:r>
          </w:p>
        </w:tc>
      </w:tr>
      <w:tr>
        <w:tc>
          <w:tcPr>
            <w:tcW w:type="dxa" w:w="2100"/>
            <w:shd w:fill="F2F2F2" w:val="clear"/>
            <w:tcMar>
              <w:top w:type="dxa" w:w="90"/>
              <w:left w:type="dxa" w:w="120"/>
              <w:bottom w:type="dxa" w:w="90"/>
              <w:right w:type="dxa" w:w="120"/>
            </w:tcMar>
          </w:tcPr>
          <w:p>
            <w:r>
              <w:rPr>
                <w:color w:val="1A1A1A"/>
                <w:sz w:val="19"/>
                <w:szCs w:val="19"/>
              </w:rPr>
              <w:t xml:space="preserve">2024 MLB Total</w:t>
            </w:r>
          </w:p>
        </w:tc>
        <w:tc>
          <w:tcPr>
            <w:tcW w:type="dxa" w:w="1900"/>
            <w:shd w:fill="F2F2F2" w:val="clear"/>
            <w:tcMar>
              <w:top w:type="dxa" w:w="90"/>
              <w:left w:type="dxa" w:w="120"/>
              <w:bottom w:type="dxa" w:w="90"/>
              <w:right w:type="dxa" w:w="120"/>
            </w:tcMar>
          </w:tcPr>
          <w:p>
            <w:r>
              <w:rPr>
                <w:color w:val="1A1A1A"/>
                <w:sz w:val="19"/>
                <w:szCs w:val="19"/>
              </w:rPr>
              <w:t xml:space="preserve">Full season</w:t>
            </w:r>
          </w:p>
        </w:tc>
        <w:tc>
          <w:tcPr>
            <w:tcW w:type="dxa" w:w="1750"/>
            <w:shd w:fill="F2F2F2" w:val="clear"/>
            <w:tcMar>
              <w:top w:type="dxa" w:w="90"/>
              <w:left w:type="dxa" w:w="120"/>
              <w:bottom w:type="dxa" w:w="90"/>
              <w:right w:type="dxa" w:w="120"/>
            </w:tcMar>
          </w:tcPr>
          <w:p>
            <w:r>
              <w:rPr>
                <w:color w:val="1A1A1A"/>
                <w:sz w:val="19"/>
                <w:szCs w:val="19"/>
              </w:rPr>
              <w:t xml:space="preserve">Mixed</w:t>
            </w:r>
          </w:p>
        </w:tc>
        <w:tc>
          <w:tcPr>
            <w:tcW w:type="dxa" w:w="1000"/>
            <w:shd w:fill="F2F2F2" w:val="clear"/>
            <w:tcMar>
              <w:top w:type="dxa" w:w="90"/>
              <w:left w:type="dxa" w:w="120"/>
              <w:bottom w:type="dxa" w:w="90"/>
              <w:right w:type="dxa" w:w="120"/>
            </w:tcMar>
          </w:tcPr>
          <w:p>
            <w:r>
              <w:rPr>
                <w:color w:val="1A1A1A"/>
                <w:sz w:val="19"/>
                <w:szCs w:val="19"/>
              </w:rPr>
              <w:t xml:space="preserve">—</w:t>
            </w:r>
          </w:p>
        </w:tc>
        <w:tc>
          <w:tcPr>
            <w:tcW w:type="dxa" w:w="900"/>
            <w:shd w:fill="F2F2F2" w:val="clear"/>
            <w:tcMar>
              <w:top w:type="dxa" w:w="90"/>
              <w:left w:type="dxa" w:w="120"/>
              <w:bottom w:type="dxa" w:w="90"/>
              <w:right w:type="dxa" w:w="120"/>
            </w:tcMar>
          </w:tcPr>
          <w:p>
            <w:r>
              <w:rPr>
                <w:color w:val="1A1A1A"/>
                <w:sz w:val="19"/>
                <w:szCs w:val="19"/>
              </w:rPr>
              <w:t xml:space="preserve">41.1</w:t>
            </w:r>
          </w:p>
        </w:tc>
        <w:tc>
          <w:tcPr>
            <w:tcW w:type="dxa" w:w="900"/>
            <w:shd w:fill="F2F2F2" w:val="clear"/>
            <w:tcMar>
              <w:top w:type="dxa" w:w="90"/>
              <w:left w:type="dxa" w:w="120"/>
              <w:bottom w:type="dxa" w:w="90"/>
              <w:right w:type="dxa" w:w="120"/>
            </w:tcMar>
          </w:tcPr>
          <w:p>
            <w:r>
              <w:rPr>
                <w:color w:val="1A1A1A"/>
                <w:sz w:val="19"/>
                <w:szCs w:val="19"/>
              </w:rPr>
              <w:t xml:space="preserve">5.44</w:t>
            </w:r>
          </w:p>
        </w:tc>
        <w:tc>
          <w:tcPr>
            <w:tcW w:type="dxa" w:w="1810"/>
            <w:shd w:fill="F2F2F2" w:val="clear"/>
            <w:tcMar>
              <w:top w:type="dxa" w:w="90"/>
              <w:left w:type="dxa" w:w="120"/>
              <w:bottom w:type="dxa" w:w="90"/>
              <w:right w:type="dxa" w:w="120"/>
            </w:tcMar>
          </w:tcPr>
          <w:p>
            <w:r>
              <w:rPr>
                <w:color w:val="1A1A1A"/>
                <w:sz w:val="19"/>
                <w:szCs w:val="19"/>
              </w:rPr>
              <w:t xml:space="preserve">0-4, 1 SV</w:t>
            </w:r>
          </w:p>
        </w:tc>
      </w:tr>
    </w:tbl>
    <w:p>
      <w:pPr>
        <w:spacing w:after="260" w:before="60"/>
      </w:pPr>
      <w:r>
        <w:rPr>
          <w:i/>
          <w:iCs/>
          <w:color w:val="5A5A5A"/>
          <w:sz w:val="18"/>
          <w:szCs w:val="18"/>
        </w:rPr>
        <w:t xml:space="preserve">Figure 4. 2024 season detail, Chicago White Sox and Boston Red Sox organizations. *Red Sox MLB line reflects a reported early-stint sample (9 G); Keller had at least one additional recall later in the season, folded into the 41.1-inning MLB total above. Sources: MLB.com, MLB Trade Rumors, Boston Globe.</w:t>
      </w:r>
    </w:p>
    <w:p>
      <w:pPr>
        <w:spacing w:after="160" w:line="276"/>
      </w:pPr>
      <w:r>
        <w:rPr>
          <w:color w:val="1A1A1A"/>
          <w:sz w:val="22"/>
          <w:szCs w:val="22"/>
        </w:rPr>
        <w:t xml:space="preserve">The throughline from 2022–2024 is a pitcher stuck between roles: not effective enough as a starter to hold a rotation spot, and not yet re-optimized for relief work. That changed the moment Chicago's coaching staff got a full off-season with him.</w:t>
      </w:r>
    </w:p>
    <w:p>
      <w:pPr>
        <w:pStyle w:val="Heading1"/>
        <w:spacing w:after="200" w:before="400"/>
      </w:pPr>
      <w:r>
        <w:t xml:space="preserve">2. The Transition: Role, Velocity, and Pitch Arsenal Changes</w:t>
      </w:r>
    </w:p>
    <w:p>
      <w:pPr>
        <w:spacing w:after="160" w:line="276"/>
      </w:pPr>
      <w:r>
        <w:rPr>
          <w:color w:val="1A1A1A"/>
          <w:sz w:val="22"/>
          <w:szCs w:val="22"/>
        </w:rPr>
        <w:t xml:space="preserve">Keller's contract was selected on March 27, 2025, adding him to the Cubs' Opening Day roster as a reliever — a permanent departure from the starter track he had followed his entire career. He went on to lead the Cubs in appearances (68, with only a single start) and was deployed increasingly in high-leverage situations as the season progressed, ultimately closing out several September and October games and recording a four-out save in Game 3 of the NLDS against Milwaukee on October 8, 2025.</w:t>
      </w:r>
    </w:p>
    <w:p>
      <w:pPr>
        <w:pStyle w:val="Heading2"/>
        <w:spacing w:after="150" w:before="300"/>
      </w:pPr>
      <w:r>
        <w:t xml:space="preserve">2.1 Velocity</w:t>
      </w:r>
    </w:p>
    <w:p>
      <w:pPr>
        <w:spacing w:after="160" w:line="276"/>
      </w:pPr>
      <w:r>
        <w:rPr>
          <w:color w:val="1A1A1A"/>
          <w:sz w:val="22"/>
          <w:szCs w:val="22"/>
        </w:rPr>
        <w:t xml:space="preserve">The move to one-inning relief outings produced an immediate and substantial velocity spike. Per Baseball Savant, Keller's average four-seam fastball jumped from 93.7 mph in 2024 to 97.1 mph in 2025 — a gain of roughly 3.4–4 mph — with in-game readings regularly sitting in the 95–99 mph range and touching as high as 99.0 mph in key strikeout moments. Statcast's percentile rankings placed that 97.1 mph average in the 88th percentile leaguewide.</w:t>
      </w:r>
    </w:p>
    <w:p>
      <w:pPr>
        <w:spacing w:after="60" w:before="120"/>
        <w:jc w:val="center"/>
      </w:pPr>
      <w:r>
        <w:drawing>
          <wp:inline distT="0" distB="0" distL="0" distR="0">
            <wp:extent cx="4381500" cy="2876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0" cy="2876550"/>
                    </a:xfrm>
                    <a:prstGeom prst="rect">
                      <a:avLst/>
                    </a:prstGeom>
                  </pic:spPr>
                </pic:pic>
              </a:graphicData>
            </a:graphic>
          </wp:inline>
        </w:drawing>
      </w:r>
    </w:p>
    <w:p>
      <w:pPr>
        <w:spacing w:after="260" w:before="60"/>
      </w:pPr>
      <w:r>
        <w:rPr>
          <w:i/>
          <w:iCs/>
          <w:color w:val="5A5A5A"/>
          <w:sz w:val="18"/>
          <w:szCs w:val="18"/>
        </w:rPr>
        <w:t xml:space="preserve">Figure 5. Average four-seam fastball velocity, 2024 (starter/swingman) vs. 2025 (full-time relief). Source: Baseball Savant.</w:t>
      </w:r>
    </w:p>
    <w:p>
      <w:pPr>
        <w:pStyle w:val="Heading2"/>
        <w:spacing w:after="150" w:before="300"/>
      </w:pPr>
      <w:r>
        <w:t xml:space="preserve">2.2 Pitch Usage and New Arsenal Pieces</w:t>
      </w:r>
    </w:p>
    <w:p>
      <w:pPr>
        <w:spacing w:after="160" w:line="276"/>
      </w:pPr>
      <w:r>
        <w:rPr>
          <w:color w:val="1A1A1A"/>
          <w:sz w:val="22"/>
          <w:szCs w:val="22"/>
        </w:rPr>
        <w:t xml:space="preserve">Rather than simplifying to a two-pitch relief mix, Keller kept a full five-pitch arsenal, leaning on the added velocity to make his existing pitches play up and increasing his fastball's rate of pitches thrown in the strike zone from roughly 53% to 60%. In his own description of the change, Keller pointed to a heavier dose of sinkers and a splitter-like changeup, on top of the hard slider he had always thrown — and, new to his repertoire, a sweeper that quickly became one of his most effective weapons against right-handed hitters.</w:t>
      </w:r>
    </w:p>
    <w:p>
      <w:pPr>
        <w:spacing w:after="60" w:before="120"/>
        <w:jc w:val="center"/>
      </w:pPr>
      <w:r>
        <w:drawing>
          <wp:inline distT="0" distB="0" distL="0" distR="0">
            <wp:extent cx="495300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953000" cy="2381250"/>
                    </a:xfrm>
                    <a:prstGeom prst="rect">
                      <a:avLst/>
                    </a:prstGeom>
                  </pic:spPr>
                </pic:pic>
              </a:graphicData>
            </a:graphic>
          </wp:inline>
        </w:drawing>
      </w:r>
    </w:p>
    <w:p>
      <w:pPr>
        <w:spacing w:after="260" w:before="60"/>
      </w:pPr>
      <w:r>
        <w:rPr>
          <w:i/>
          <w:iCs/>
          <w:color w:val="5A5A5A"/>
          <w:sz w:val="18"/>
          <w:szCs w:val="18"/>
        </w:rPr>
        <w:t xml:space="preserve">Figure 6. 2025 pitch mix by usage share. Source: Baseball Savant Statcast pitch arsenal 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900"/>
        <w:gridCol w:w="2200"/>
        <w:gridCol w:w="3060"/>
      </w:tblGrid>
      <w:tr>
        <w:trPr>
          <w:tblHeader/>
        </w:trPr>
        <w:tc>
          <w:tcPr>
            <w:tcW w:type="dxa" w:w="2200"/>
            <w:shd w:fill="0E3386" w:val="clear"/>
            <w:tcMar>
              <w:top w:type="dxa" w:w="100"/>
              <w:left w:type="dxa" w:w="120"/>
              <w:bottom w:type="dxa" w:w="100"/>
              <w:right w:type="dxa" w:w="120"/>
            </w:tcMar>
          </w:tcPr>
          <w:p>
            <w:r>
              <w:rPr>
                <w:b/>
                <w:bCs/>
                <w:color w:val="FFFFFF"/>
                <w:sz w:val="19"/>
                <w:szCs w:val="19"/>
              </w:rPr>
              <w:t xml:space="preserve">Pitch</w:t>
            </w:r>
          </w:p>
        </w:tc>
        <w:tc>
          <w:tcPr>
            <w:tcW w:type="dxa" w:w="1900"/>
            <w:shd w:fill="0E3386" w:val="clear"/>
            <w:tcMar>
              <w:top w:type="dxa" w:w="100"/>
              <w:left w:type="dxa" w:w="120"/>
              <w:bottom w:type="dxa" w:w="100"/>
              <w:right w:type="dxa" w:w="120"/>
            </w:tcMar>
          </w:tcPr>
          <w:p>
            <w:r>
              <w:rPr>
                <w:b/>
                <w:bCs/>
                <w:color w:val="FFFFFF"/>
                <w:sz w:val="19"/>
                <w:szCs w:val="19"/>
              </w:rPr>
              <w:t xml:space="preserve">2025 Usage %</w:t>
            </w:r>
          </w:p>
        </w:tc>
        <w:tc>
          <w:tcPr>
            <w:tcW w:type="dxa" w:w="2200"/>
            <w:shd w:fill="0E3386" w:val="clear"/>
            <w:tcMar>
              <w:top w:type="dxa" w:w="100"/>
              <w:left w:type="dxa" w:w="120"/>
              <w:bottom w:type="dxa" w:w="100"/>
              <w:right w:type="dxa" w:w="120"/>
            </w:tcMar>
          </w:tcPr>
          <w:p>
            <w:r>
              <w:rPr>
                <w:b/>
                <w:bCs/>
                <w:color w:val="FFFFFF"/>
                <w:sz w:val="19"/>
                <w:szCs w:val="19"/>
              </w:rPr>
              <w:t xml:space="preserve">Avg. Velocity</w:t>
            </w:r>
          </w:p>
        </w:tc>
        <w:tc>
          <w:tcPr>
            <w:tcW w:type="dxa" w:w="3060"/>
            <w:shd w:fill="0E3386" w:val="clear"/>
            <w:tcMar>
              <w:top w:type="dxa" w:w="100"/>
              <w:left w:type="dxa" w:w="120"/>
              <w:bottom w:type="dxa" w:w="100"/>
              <w:right w:type="dxa" w:w="120"/>
            </w:tcMar>
          </w:tcPr>
          <w:p>
            <w:r>
              <w:rPr>
                <w:b/>
                <w:bCs/>
                <w:color w:val="FFFFFF"/>
                <w:sz w:val="19"/>
                <w:szCs w:val="19"/>
              </w:rPr>
              <w:t xml:space="preserve">Notable Profile</w:t>
            </w:r>
          </w:p>
        </w:tc>
      </w:tr>
      <w:tr>
        <w:tc>
          <w:tcPr>
            <w:tcW w:type="dxa" w:w="2200"/>
            <w:shd w:fill="FFFFFF" w:val="clear"/>
            <w:tcMar>
              <w:top w:type="dxa" w:w="90"/>
              <w:left w:type="dxa" w:w="120"/>
              <w:bottom w:type="dxa" w:w="90"/>
              <w:right w:type="dxa" w:w="120"/>
            </w:tcMar>
          </w:tcPr>
          <w:p>
            <w:r>
              <w:rPr>
                <w:color w:val="1A1A1A"/>
                <w:sz w:val="19"/>
                <w:szCs w:val="19"/>
              </w:rPr>
              <w:t xml:space="preserve">4-Seam Fastball</w:t>
            </w:r>
          </w:p>
        </w:tc>
        <w:tc>
          <w:tcPr>
            <w:tcW w:type="dxa" w:w="1900"/>
            <w:shd w:fill="FFFFFF" w:val="clear"/>
            <w:tcMar>
              <w:top w:type="dxa" w:w="90"/>
              <w:left w:type="dxa" w:w="120"/>
              <w:bottom w:type="dxa" w:w="90"/>
              <w:right w:type="dxa" w:w="120"/>
            </w:tcMar>
          </w:tcPr>
          <w:p>
            <w:r>
              <w:rPr>
                <w:color w:val="1A1A1A"/>
                <w:sz w:val="19"/>
                <w:szCs w:val="19"/>
              </w:rPr>
              <w:t xml:space="preserve">42.2%</w:t>
            </w:r>
          </w:p>
        </w:tc>
        <w:tc>
          <w:tcPr>
            <w:tcW w:type="dxa" w:w="2200"/>
            <w:shd w:fill="FFFFFF" w:val="clear"/>
            <w:tcMar>
              <w:top w:type="dxa" w:w="90"/>
              <w:left w:type="dxa" w:w="120"/>
              <w:bottom w:type="dxa" w:w="90"/>
              <w:right w:type="dxa" w:w="120"/>
            </w:tcMar>
          </w:tcPr>
          <w:p>
            <w:r>
              <w:rPr>
                <w:color w:val="1A1A1A"/>
                <w:sz w:val="19"/>
                <w:szCs w:val="19"/>
              </w:rPr>
              <w:t xml:space="preserve">97.1 mph</w:t>
            </w:r>
          </w:p>
        </w:tc>
        <w:tc>
          <w:tcPr>
            <w:tcW w:type="dxa" w:w="3060"/>
            <w:shd w:fill="FFFFFF" w:val="clear"/>
            <w:tcMar>
              <w:top w:type="dxa" w:w="90"/>
              <w:left w:type="dxa" w:w="120"/>
              <w:bottom w:type="dxa" w:w="90"/>
              <w:right w:type="dxa" w:w="120"/>
            </w:tcMar>
          </w:tcPr>
          <w:p>
            <w:r>
              <w:rPr>
                <w:color w:val="1A1A1A"/>
                <w:sz w:val="19"/>
                <w:szCs w:val="19"/>
              </w:rPr>
              <w:t xml:space="preserve">Cutter-shaped movement; zone rate rose from ~53% to 60%</w:t>
            </w:r>
          </w:p>
        </w:tc>
      </w:tr>
      <w:tr>
        <w:tc>
          <w:tcPr>
            <w:tcW w:type="dxa" w:w="2200"/>
            <w:shd w:fill="F2F2F2" w:val="clear"/>
            <w:tcMar>
              <w:top w:type="dxa" w:w="90"/>
              <w:left w:type="dxa" w:w="120"/>
              <w:bottom w:type="dxa" w:w="90"/>
              <w:right w:type="dxa" w:w="120"/>
            </w:tcMar>
          </w:tcPr>
          <w:p>
            <w:r>
              <w:rPr>
                <w:color w:val="1A1A1A"/>
                <w:sz w:val="19"/>
                <w:szCs w:val="19"/>
              </w:rPr>
              <w:t xml:space="preserve">Slider</w:t>
            </w:r>
          </w:p>
        </w:tc>
        <w:tc>
          <w:tcPr>
            <w:tcW w:type="dxa" w:w="1900"/>
            <w:shd w:fill="F2F2F2" w:val="clear"/>
            <w:tcMar>
              <w:top w:type="dxa" w:w="90"/>
              <w:left w:type="dxa" w:w="120"/>
              <w:bottom w:type="dxa" w:w="90"/>
              <w:right w:type="dxa" w:w="120"/>
            </w:tcMar>
          </w:tcPr>
          <w:p>
            <w:r>
              <w:rPr>
                <w:color w:val="1A1A1A"/>
                <w:sz w:val="19"/>
                <w:szCs w:val="19"/>
              </w:rPr>
              <w:t xml:space="preserve">17.3%</w:t>
            </w:r>
          </w:p>
        </w:tc>
        <w:tc>
          <w:tcPr>
            <w:tcW w:type="dxa" w:w="2200"/>
            <w:shd w:fill="F2F2F2" w:val="clear"/>
            <w:tcMar>
              <w:top w:type="dxa" w:w="90"/>
              <w:left w:type="dxa" w:w="120"/>
              <w:bottom w:type="dxa" w:w="90"/>
              <w:right w:type="dxa" w:w="120"/>
            </w:tcMar>
          </w:tcPr>
          <w:p>
            <w:r>
              <w:rPr>
                <w:color w:val="1A1A1A"/>
                <w:sz w:val="19"/>
                <w:szCs w:val="19"/>
              </w:rPr>
              <w:t xml:space="preserve">88.0 mph</w:t>
            </w:r>
          </w:p>
        </w:tc>
        <w:tc>
          <w:tcPr>
            <w:tcW w:type="dxa" w:w="3060"/>
            <w:shd w:fill="F2F2F2" w:val="clear"/>
            <w:tcMar>
              <w:top w:type="dxa" w:w="90"/>
              <w:left w:type="dxa" w:w="120"/>
              <w:bottom w:type="dxa" w:w="90"/>
              <w:right w:type="dxa" w:w="120"/>
            </w:tcMar>
          </w:tcPr>
          <w:p>
            <w:r>
              <w:rPr>
                <w:color w:val="1A1A1A"/>
                <w:sz w:val="19"/>
                <w:szCs w:val="19"/>
              </w:rPr>
              <w:t xml:space="preserve">Primary putaway pitch vs. RHB</w:t>
            </w:r>
          </w:p>
        </w:tc>
      </w:tr>
      <w:tr>
        <w:tc>
          <w:tcPr>
            <w:tcW w:type="dxa" w:w="2200"/>
            <w:shd w:fill="FFFFFF" w:val="clear"/>
            <w:tcMar>
              <w:top w:type="dxa" w:w="90"/>
              <w:left w:type="dxa" w:w="120"/>
              <w:bottom w:type="dxa" w:w="90"/>
              <w:right w:type="dxa" w:w="120"/>
            </w:tcMar>
          </w:tcPr>
          <w:p>
            <w:r>
              <w:rPr>
                <w:color w:val="1A1A1A"/>
                <w:sz w:val="19"/>
                <w:szCs w:val="19"/>
              </w:rPr>
              <w:t xml:space="preserve">Sweeper</w:t>
            </w:r>
          </w:p>
        </w:tc>
        <w:tc>
          <w:tcPr>
            <w:tcW w:type="dxa" w:w="1900"/>
            <w:shd w:fill="FFFFFF" w:val="clear"/>
            <w:tcMar>
              <w:top w:type="dxa" w:w="90"/>
              <w:left w:type="dxa" w:w="120"/>
              <w:bottom w:type="dxa" w:w="90"/>
              <w:right w:type="dxa" w:w="120"/>
            </w:tcMar>
          </w:tcPr>
          <w:p>
            <w:r>
              <w:rPr>
                <w:color w:val="1A1A1A"/>
                <w:sz w:val="19"/>
                <w:szCs w:val="19"/>
              </w:rPr>
              <w:t xml:space="preserve">14.5%</w:t>
            </w:r>
          </w:p>
        </w:tc>
        <w:tc>
          <w:tcPr>
            <w:tcW w:type="dxa" w:w="2200"/>
            <w:shd w:fill="FFFFFF" w:val="clear"/>
            <w:tcMar>
              <w:top w:type="dxa" w:w="90"/>
              <w:left w:type="dxa" w:w="120"/>
              <w:bottom w:type="dxa" w:w="90"/>
              <w:right w:type="dxa" w:w="120"/>
            </w:tcMar>
          </w:tcPr>
          <w:p>
            <w:r>
              <w:rPr>
                <w:color w:val="1A1A1A"/>
                <w:sz w:val="19"/>
                <w:szCs w:val="19"/>
              </w:rPr>
              <w:t xml:space="preserve">86.3 mph (avg.)</w:t>
            </w:r>
          </w:p>
        </w:tc>
        <w:tc>
          <w:tcPr>
            <w:tcW w:type="dxa" w:w="3060"/>
            <w:shd w:fill="FFFFFF" w:val="clear"/>
            <w:tcMar>
              <w:top w:type="dxa" w:w="90"/>
              <w:left w:type="dxa" w:w="120"/>
              <w:bottom w:type="dxa" w:w="90"/>
              <w:right w:type="dxa" w:w="120"/>
            </w:tcMar>
          </w:tcPr>
          <w:p>
            <w:r>
              <w:rPr>
                <w:color w:val="1A1A1A"/>
                <w:sz w:val="19"/>
                <w:szCs w:val="19"/>
              </w:rPr>
              <w:t xml:space="preserve">~2,720 RPM; opponents hit .067 against it in 2025</w:t>
            </w:r>
          </w:p>
        </w:tc>
      </w:tr>
      <w:tr>
        <w:tc>
          <w:tcPr>
            <w:tcW w:type="dxa" w:w="2200"/>
            <w:shd w:fill="F2F2F2" w:val="clear"/>
            <w:tcMar>
              <w:top w:type="dxa" w:w="90"/>
              <w:left w:type="dxa" w:w="120"/>
              <w:bottom w:type="dxa" w:w="90"/>
              <w:right w:type="dxa" w:w="120"/>
            </w:tcMar>
          </w:tcPr>
          <w:p>
            <w:r>
              <w:rPr>
                <w:color w:val="1A1A1A"/>
                <w:sz w:val="19"/>
                <w:szCs w:val="19"/>
              </w:rPr>
              <w:t xml:space="preserve">Sinker</w:t>
            </w:r>
          </w:p>
        </w:tc>
        <w:tc>
          <w:tcPr>
            <w:tcW w:type="dxa" w:w="1900"/>
            <w:shd w:fill="F2F2F2" w:val="clear"/>
            <w:tcMar>
              <w:top w:type="dxa" w:w="90"/>
              <w:left w:type="dxa" w:w="120"/>
              <w:bottom w:type="dxa" w:w="90"/>
              <w:right w:type="dxa" w:w="120"/>
            </w:tcMar>
          </w:tcPr>
          <w:p>
            <w:r>
              <w:rPr>
                <w:color w:val="1A1A1A"/>
                <w:sz w:val="19"/>
                <w:szCs w:val="19"/>
              </w:rPr>
              <w:t xml:space="preserve">14.4%</w:t>
            </w:r>
          </w:p>
        </w:tc>
        <w:tc>
          <w:tcPr>
            <w:tcW w:type="dxa" w:w="2200"/>
            <w:shd w:fill="F2F2F2" w:val="clear"/>
            <w:tcMar>
              <w:top w:type="dxa" w:w="90"/>
              <w:left w:type="dxa" w:w="120"/>
              <w:bottom w:type="dxa" w:w="90"/>
              <w:right w:type="dxa" w:w="120"/>
            </w:tcMar>
          </w:tcPr>
          <w:p>
            <w:r>
              <w:rPr>
                <w:color w:val="1A1A1A"/>
                <w:sz w:val="19"/>
                <w:szCs w:val="19"/>
              </w:rPr>
              <w:t xml:space="preserve">mid-90s</w:t>
            </w:r>
          </w:p>
        </w:tc>
        <w:tc>
          <w:tcPr>
            <w:tcW w:type="dxa" w:w="3060"/>
            <w:shd w:fill="F2F2F2" w:val="clear"/>
            <w:tcMar>
              <w:top w:type="dxa" w:w="90"/>
              <w:left w:type="dxa" w:w="120"/>
              <w:bottom w:type="dxa" w:w="90"/>
              <w:right w:type="dxa" w:w="120"/>
            </w:tcMar>
          </w:tcPr>
          <w:p>
            <w:r>
              <w:rPr>
                <w:color w:val="1A1A1A"/>
                <w:sz w:val="19"/>
                <w:szCs w:val="19"/>
              </w:rPr>
              <w:t xml:space="preserve">Tunnels off four-seam shape; heavier usage per Keller</w:t>
            </w:r>
          </w:p>
        </w:tc>
      </w:tr>
      <w:tr>
        <w:tc>
          <w:tcPr>
            <w:tcW w:type="dxa" w:w="2200"/>
            <w:shd w:fill="FFFFFF" w:val="clear"/>
            <w:tcMar>
              <w:top w:type="dxa" w:w="90"/>
              <w:left w:type="dxa" w:w="120"/>
              <w:bottom w:type="dxa" w:w="90"/>
              <w:right w:type="dxa" w:w="120"/>
            </w:tcMar>
          </w:tcPr>
          <w:p>
            <w:r>
              <w:rPr>
                <w:color w:val="1A1A1A"/>
                <w:sz w:val="19"/>
                <w:szCs w:val="19"/>
              </w:rPr>
              <w:t xml:space="preserve">Changeup</w:t>
            </w:r>
          </w:p>
        </w:tc>
        <w:tc>
          <w:tcPr>
            <w:tcW w:type="dxa" w:w="1900"/>
            <w:shd w:fill="FFFFFF" w:val="clear"/>
            <w:tcMar>
              <w:top w:type="dxa" w:w="90"/>
              <w:left w:type="dxa" w:w="120"/>
              <w:bottom w:type="dxa" w:w="90"/>
              <w:right w:type="dxa" w:w="120"/>
            </w:tcMar>
          </w:tcPr>
          <w:p>
            <w:r>
              <w:rPr>
                <w:color w:val="1A1A1A"/>
                <w:sz w:val="19"/>
                <w:szCs w:val="19"/>
              </w:rPr>
              <w:t xml:space="preserve">11.7%</w:t>
            </w:r>
          </w:p>
        </w:tc>
        <w:tc>
          <w:tcPr>
            <w:tcW w:type="dxa" w:w="2200"/>
            <w:shd w:fill="FFFFFF" w:val="clear"/>
            <w:tcMar>
              <w:top w:type="dxa" w:w="90"/>
              <w:left w:type="dxa" w:w="120"/>
              <w:bottom w:type="dxa" w:w="90"/>
              <w:right w:type="dxa" w:w="120"/>
            </w:tcMar>
          </w:tcPr>
          <w:p>
            <w:r>
              <w:rPr>
                <w:color w:val="1A1A1A"/>
                <w:sz w:val="19"/>
                <w:szCs w:val="19"/>
              </w:rPr>
              <w:t xml:space="preserve">~92–93 mph</w:t>
            </w:r>
          </w:p>
        </w:tc>
        <w:tc>
          <w:tcPr>
            <w:tcW w:type="dxa" w:w="3060"/>
            <w:shd w:fill="FFFFFF" w:val="clear"/>
            <w:tcMar>
              <w:top w:type="dxa" w:w="90"/>
              <w:left w:type="dxa" w:w="120"/>
              <w:bottom w:type="dxa" w:w="90"/>
              <w:right w:type="dxa" w:w="120"/>
            </w:tcMar>
          </w:tcPr>
          <w:p>
            <w:r>
              <w:rPr>
                <w:color w:val="1A1A1A"/>
                <w:sz w:val="19"/>
                <w:szCs w:val="19"/>
              </w:rPr>
              <w:t xml:space="preserve">“Split-change” feel; keeps LHB off balance</w:t>
            </w:r>
          </w:p>
        </w:tc>
      </w:tr>
    </w:tbl>
    <w:p>
      <w:pPr>
        <w:spacing w:after="260" w:before="60"/>
      </w:pPr>
      <w:r>
        <w:rPr>
          <w:i/>
          <w:iCs/>
          <w:color w:val="5A5A5A"/>
          <w:sz w:val="18"/>
          <w:szCs w:val="18"/>
        </w:rPr>
        <w:t xml:space="preserve">Figure 7. 2025 pitch-by-pitch usage and velocity profile as a Cubs reliever. Source: Baseball Savant / Statcast.</w:t>
      </w:r>
    </w:p>
    <w:p>
      <w:pPr>
        <w:pStyle w:val="Heading2"/>
        <w:spacing w:after="150" w:before="300"/>
      </w:pPr>
      <w:r>
        <w:t xml:space="preserve">2.3 Pitch Mix: Starter Years vs. 2025 Relief Role</w:t>
      </w:r>
    </w:p>
    <w:p>
      <w:pPr>
        <w:spacing w:after="160" w:line="276"/>
      </w:pPr>
      <w:r>
        <w:rPr>
          <w:color w:val="1A1A1A"/>
          <w:sz w:val="22"/>
          <w:szCs w:val="22"/>
        </w:rPr>
        <w:t xml:space="preserve">Comparing his relief-era mix to his rotation years shows the shift is about more than raw stuff — the shape of the arsenal itself changed. As a starter, Keller leaned heavily on his slider and sinker to generate ground balls deep into games; as a reliever, the fastball became the clear primary weapon, the once-nonexistent sweeper immediately became a top-three pitch, and the slider/sinker usage receded in relative terms even as both gained velocity.</w:t>
      </w:r>
    </w:p>
    <w:p>
      <w:pPr>
        <w:spacing w:after="60" w:before="120"/>
        <w:jc w:val="center"/>
      </w:pPr>
      <w:r>
        <w:drawing>
          <wp:inline distT="0" distB="0" distL="0" distR="0">
            <wp:extent cx="5334000" cy="2733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2733675"/>
                    </a:xfrm>
                    <a:prstGeom prst="rect">
                      <a:avLst/>
                    </a:prstGeom>
                  </pic:spPr>
                </pic:pic>
              </a:graphicData>
            </a:graphic>
          </wp:inline>
        </w:drawing>
      </w:r>
    </w:p>
    <w:p>
      <w:pPr>
        <w:spacing w:after="260" w:before="60"/>
      </w:pPr>
      <w:r>
        <w:rPr>
          <w:i/>
          <w:iCs/>
          <w:color w:val="5A5A5A"/>
          <w:sz w:val="18"/>
          <w:szCs w:val="18"/>
        </w:rPr>
        <w:t xml:space="preserve">Figure 8. Approximate starter-era mix (2021–22, Kansas City) vs. 2025 reliever mix (Cubs). Starter-era figures are reconstructed from public year-by-year usage reporting rather than a single Savant export and should be read as directional, not exact; the 2025 bars are the precise Statcast figures from Figure 7.</w:t>
      </w:r>
    </w:p>
    <w:p>
      <w:pPr>
        <w:pStyle w:val="Heading2"/>
        <w:spacing w:after="150" w:before="300"/>
      </w:pPr>
      <w:r>
        <w:t xml:space="preserve">2.4 Pitch Movement Profile (Statcast Ball-Tracking Data)</w:t>
      </w:r>
    </w:p>
    <w:p>
      <w:pPr>
        <w:spacing w:after="160" w:line="276"/>
      </w:pPr>
      <w:r>
        <w:rPr>
          <w:color w:val="1A1A1A"/>
          <w:sz w:val="22"/>
          <w:szCs w:val="22"/>
        </w:rPr>
        <w:t xml:space="preserve">Statcast's ball-tracking data — captured by Hawk-Eye optical tracking, which replaced the original TrackMan/Doppler radar system leaguewide starting in 2020 — shows how Keller's four active breaking and off-speed pitches separate from one another and from his fastball. The sweeper and slider break to his glove side with heavy vertical drop, while the changeup mirrors the fastball's arm-side action at a reduced velocity — the kind of shared spin direction that makes pitches harder for hitters to distinguish out of the hand.</w:t>
      </w:r>
    </w:p>
    <w:p>
      <w:pPr>
        <w:spacing w:after="60" w:before="120"/>
        <w:jc w:val="center"/>
      </w:pPr>
      <w:r>
        <w:drawing>
          <wp:inline distT="0" distB="0" distL="0" distR="0">
            <wp:extent cx="4572000" cy="406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0" cy="4067175"/>
                    </a:xfrm>
                    <a:prstGeom prst="rect">
                      <a:avLst/>
                    </a:prstGeom>
                  </pic:spPr>
                </pic:pic>
              </a:graphicData>
            </a:graphic>
          </wp:inline>
        </w:drawing>
      </w:r>
    </w:p>
    <w:p>
      <w:pPr>
        <w:spacing w:after="260" w:before="60"/>
      </w:pPr>
      <w:r>
        <w:rPr>
          <w:i/>
          <w:iCs/>
          <w:color w:val="5A5A5A"/>
          <w:sz w:val="18"/>
          <w:szCs w:val="18"/>
        </w:rPr>
        <w:t xml:space="preserve">Figure 9. 2025 total pitch movement (horizontal break vs. vertical drop, pitcher's-eye view), bubble size scaled to velocity. Source: Baseball Savant pitch-tracking data.</w:t>
      </w:r>
    </w:p>
    <w:p>
      <w:pPr>
        <w:spacing w:after="160" w:line="276"/>
      </w:pPr>
      <w:r>
        <w:rPr>
          <w:color w:val="1A1A1A"/>
          <w:sz w:val="22"/>
          <w:szCs w:val="22"/>
        </w:rPr>
        <w:t xml:space="preserve">The net effect was a pitcher who, as a starter, worked backwards off an average mid-90s fastball with modest zone rates and, as a reliever, could attack the zone with a harder fastball, tunnel a plus slider and a new sweeper off it, and hold both sides of the plate: right-handed hitters slashed just .148 with a .466 OPS against him over 153 plate appearances in 2025, while left-handed hitters managed only a .223/.293/.277 line with a 26% strikeout rate over 123 plate appearances.</w:t>
      </w:r>
    </w:p>
    <w:p>
      <w:pPr>
        <w:pStyle w:val="Heading1"/>
        <w:spacing w:after="200" w:before="400"/>
      </w:pPr>
      <w:r>
        <w:t xml:space="preserve">3. Performance Outcomes: 2025 Season in Full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c>
          <w:tcPr>
            <w:tcW w:type="dxa" w:w="2500"/>
            <w:tcBorders>
              <w:top w:val="single" w:color="C9D3E8" w:sz="2"/>
              <w:left w:val="single" w:color="C9D3E8" w:sz="2"/>
              <w:bottom w:val="single" w:color="C9D3E8" w:sz="2"/>
              <w:right w:val="single" w:color="C9D3E8" w:sz="2"/>
            </w:tcBorders>
            <w:shd w:fill="E8ECF6" w:val="clear"/>
            <w:tcMar>
              <w:top w:type="dxa" w:w="160"/>
              <w:left w:type="dxa" w:w="140"/>
              <w:bottom w:type="dxa" w:w="160"/>
              <w:right w:type="dxa" w:w="140"/>
            </w:tcMar>
          </w:tcPr>
          <w:p>
            <w:pPr>
              <w:spacing w:after="40"/>
              <w:jc w:val="center"/>
            </w:pPr>
            <w:r>
              <w:rPr>
                <w:b/>
                <w:bCs/>
                <w:color w:val="0E3386"/>
                <w:sz w:val="30"/>
                <w:szCs w:val="30"/>
              </w:rPr>
              <w:t xml:space="preserve">2.07</w:t>
            </w:r>
          </w:p>
          <w:p>
            <w:pPr>
              <w:jc w:val="center"/>
            </w:pPr>
            <w:r>
              <w:rPr>
                <w:color w:val="5A5A5A"/>
                <w:sz w:val="16"/>
                <w:szCs w:val="16"/>
              </w:rPr>
              <w:t xml:space="preserve">ERA</w:t>
            </w:r>
          </w:p>
          <w:p>
            <w:pPr>
              <w:jc w:val="center"/>
            </w:pPr>
            <w:r>
              <w:rPr>
                <w:i/>
                <w:iCs/>
                <w:color w:val="5A5A5A"/>
                <w:sz w:val="15"/>
                <w:szCs w:val="15"/>
              </w:rPr>
              <w:t xml:space="preserve">68 G, 1 GS</w:t>
            </w:r>
          </w:p>
        </w:tc>
        <w:tc>
          <w:tcPr>
            <w:tcW w:type="dxa" w:w="2500"/>
            <w:tcBorders>
              <w:top w:val="single" w:color="C9D3E8" w:sz="2"/>
              <w:left w:val="single" w:color="C9D3E8" w:sz="2"/>
              <w:bottom w:val="single" w:color="C9D3E8" w:sz="2"/>
              <w:right w:val="single" w:color="C9D3E8" w:sz="2"/>
            </w:tcBorders>
            <w:shd w:fill="E8ECF6" w:val="clear"/>
            <w:tcMar>
              <w:top w:type="dxa" w:w="160"/>
              <w:left w:type="dxa" w:w="140"/>
              <w:bottom w:type="dxa" w:w="160"/>
              <w:right w:type="dxa" w:w="140"/>
            </w:tcMar>
          </w:tcPr>
          <w:p>
            <w:pPr>
              <w:spacing w:after="40"/>
              <w:jc w:val="center"/>
            </w:pPr>
            <w:r>
              <w:rPr>
                <w:b/>
                <w:bCs/>
                <w:color w:val="0E3386"/>
                <w:sz w:val="30"/>
                <w:szCs w:val="30"/>
              </w:rPr>
              <w:t xml:space="preserve">0.96</w:t>
            </w:r>
          </w:p>
          <w:p>
            <w:pPr>
              <w:jc w:val="center"/>
            </w:pPr>
            <w:r>
              <w:rPr>
                <w:color w:val="5A5A5A"/>
                <w:sz w:val="16"/>
                <w:szCs w:val="16"/>
              </w:rPr>
              <w:t xml:space="preserve">WHIP</w:t>
            </w:r>
          </w:p>
          <w:p/>
        </w:tc>
        <w:tc>
          <w:tcPr>
            <w:tcW w:type="dxa" w:w="2500"/>
            <w:tcBorders>
              <w:top w:val="single" w:color="C9D3E8" w:sz="2"/>
              <w:left w:val="single" w:color="C9D3E8" w:sz="2"/>
              <w:bottom w:val="single" w:color="C9D3E8" w:sz="2"/>
              <w:right w:val="single" w:color="C9D3E8" w:sz="2"/>
            </w:tcBorders>
            <w:shd w:fill="E8ECF6" w:val="clear"/>
            <w:tcMar>
              <w:top w:type="dxa" w:w="160"/>
              <w:left w:type="dxa" w:w="140"/>
              <w:bottom w:type="dxa" w:w="160"/>
              <w:right w:type="dxa" w:w="140"/>
            </w:tcMar>
          </w:tcPr>
          <w:p>
            <w:pPr>
              <w:spacing w:after="40"/>
              <w:jc w:val="center"/>
            </w:pPr>
            <w:r>
              <w:rPr>
                <w:b/>
                <w:bCs/>
                <w:color w:val="0E3386"/>
                <w:sz w:val="30"/>
                <w:szCs w:val="30"/>
              </w:rPr>
              <w:t xml:space="preserve">75</w:t>
            </w:r>
          </w:p>
          <w:p>
            <w:pPr>
              <w:jc w:val="center"/>
            </w:pPr>
            <w:r>
              <w:rPr>
                <w:color w:val="5A5A5A"/>
                <w:sz w:val="16"/>
                <w:szCs w:val="16"/>
              </w:rPr>
              <w:t xml:space="preserve">K</w:t>
            </w:r>
          </w:p>
          <w:p>
            <w:pPr>
              <w:jc w:val="center"/>
            </w:pPr>
            <w:r>
              <w:rPr>
                <w:i/>
                <w:iCs/>
                <w:color w:val="5A5A5A"/>
                <w:sz w:val="15"/>
                <w:szCs w:val="15"/>
              </w:rPr>
              <w:t xml:space="preserve">9.7 K/9</w:t>
            </w:r>
          </w:p>
        </w:tc>
        <w:tc>
          <w:tcPr>
            <w:tcW w:type="dxa" w:w="2500"/>
            <w:tcBorders>
              <w:top w:val="single" w:color="C9D3E8" w:sz="2"/>
              <w:left w:val="single" w:color="C9D3E8" w:sz="2"/>
              <w:bottom w:val="single" w:color="C9D3E8" w:sz="2"/>
              <w:right w:val="single" w:color="C9D3E8" w:sz="2"/>
            </w:tcBorders>
            <w:shd w:fill="E8ECF6" w:val="clear"/>
            <w:tcMar>
              <w:top w:type="dxa" w:w="160"/>
              <w:left w:type="dxa" w:w="140"/>
              <w:bottom w:type="dxa" w:w="160"/>
              <w:right w:type="dxa" w:w="140"/>
            </w:tcMar>
          </w:tcPr>
          <w:p>
            <w:pPr>
              <w:spacing w:after="40"/>
              <w:jc w:val="center"/>
            </w:pPr>
            <w:r>
              <w:rPr>
                <w:b/>
                <w:bCs/>
                <w:color w:val="0E3386"/>
                <w:sz w:val="30"/>
                <w:szCs w:val="30"/>
              </w:rPr>
              <w:t xml:space="preserve">69.2</w:t>
            </w:r>
          </w:p>
          <w:p>
            <w:pPr>
              <w:jc w:val="center"/>
            </w:pPr>
            <w:r>
              <w:rPr>
                <w:color w:val="5A5A5A"/>
                <w:sz w:val="16"/>
                <w:szCs w:val="16"/>
              </w:rPr>
              <w:t xml:space="preserve">IP</w:t>
            </w:r>
          </w:p>
          <w:p>
            <w:pPr>
              <w:jc w:val="center"/>
            </w:pPr>
            <w:r>
              <w:rPr>
                <w:i/>
                <w:iCs/>
                <w:color w:val="5A5A5A"/>
                <w:sz w:val="15"/>
                <w:szCs w:val="15"/>
              </w:rPr>
              <w:t xml:space="preserve">Regular season</w:t>
            </w:r>
          </w:p>
        </w:tc>
        <w:tc>
          <w:tcPr>
            <w:tcW w:type="dxa" w:w="2500"/>
            <w:tcBorders>
              <w:top w:val="single" w:color="C9D3E8" w:sz="2"/>
              <w:left w:val="single" w:color="C9D3E8" w:sz="2"/>
              <w:bottom w:val="single" w:color="C9D3E8" w:sz="2"/>
              <w:right w:val="single" w:color="C9D3E8" w:sz="2"/>
            </w:tcBorders>
            <w:shd w:fill="E8ECF6" w:val="clear"/>
            <w:tcMar>
              <w:top w:type="dxa" w:w="160"/>
              <w:left w:type="dxa" w:w="140"/>
              <w:bottom w:type="dxa" w:w="160"/>
              <w:right w:type="dxa" w:w="140"/>
            </w:tcMar>
          </w:tcPr>
          <w:p>
            <w:pPr>
              <w:spacing w:after="40"/>
              <w:jc w:val="center"/>
            </w:pPr>
            <w:r>
              <w:rPr>
                <w:b/>
                <w:bCs/>
                <w:color w:val="0E3386"/>
                <w:sz w:val="30"/>
                <w:szCs w:val="30"/>
              </w:rPr>
              <w:t xml:space="preserve">4-2</w:t>
            </w:r>
          </w:p>
          <w:p>
            <w:pPr>
              <w:jc w:val="center"/>
            </w:pPr>
            <w:r>
              <w:rPr>
                <w:color w:val="5A5A5A"/>
                <w:sz w:val="16"/>
                <w:szCs w:val="16"/>
              </w:rPr>
              <w:t xml:space="preserve">Record</w:t>
            </w:r>
          </w:p>
          <w:p>
            <w:pPr>
              <w:jc w:val="center"/>
            </w:pPr>
            <w:r>
              <w:rPr>
                <w:i/>
                <w:iCs/>
                <w:color w:val="5A5A5A"/>
                <w:sz w:val="15"/>
                <w:szCs w:val="15"/>
              </w:rPr>
              <w:t xml:space="preserve">3 SV</w:t>
            </w:r>
          </w:p>
        </w:tc>
        <w:tc>
          <w:tcPr>
            <w:tcW w:type="dxa" w:w="2500"/>
            <w:tcBorders>
              <w:top w:val="single" w:color="C9D3E8" w:sz="2"/>
              <w:left w:val="single" w:color="C9D3E8" w:sz="2"/>
              <w:bottom w:val="single" w:color="C9D3E8" w:sz="2"/>
              <w:right w:val="single" w:color="C9D3E8" w:sz="2"/>
            </w:tcBorders>
            <w:shd w:fill="E8ECF6" w:val="clear"/>
            <w:tcMar>
              <w:top w:type="dxa" w:w="160"/>
              <w:left w:type="dxa" w:w="140"/>
              <w:bottom w:type="dxa" w:w="160"/>
              <w:right w:type="dxa" w:w="140"/>
            </w:tcMar>
          </w:tcPr>
          <w:p>
            <w:pPr>
              <w:spacing w:after="40"/>
              <w:jc w:val="center"/>
            </w:pPr>
            <w:r>
              <w:rPr>
                <w:b/>
                <w:bCs/>
                <w:color w:val="0E3386"/>
                <w:sz w:val="30"/>
                <w:szCs w:val="30"/>
              </w:rPr>
              <w:t xml:space="preserve">1.4</w:t>
            </w:r>
          </w:p>
          <w:p>
            <w:pPr>
              <w:jc w:val="center"/>
            </w:pPr>
            <w:r>
              <w:rPr>
                <w:color w:val="5A5A5A"/>
                <w:sz w:val="16"/>
                <w:szCs w:val="16"/>
              </w:rPr>
              <w:t xml:space="preserve">bWAR</w:t>
            </w:r>
          </w:p>
          <w:p>
            <w:pPr>
              <w:jc w:val="center"/>
            </w:pPr>
            <w:r>
              <w:rPr>
                <w:i/>
                <w:iCs/>
                <w:color w:val="5A5A5A"/>
                <w:sz w:val="15"/>
                <w:szCs w:val="15"/>
              </w:rPr>
              <w:t xml:space="preserve">Career-best</w:t>
            </w:r>
          </w:p>
        </w:tc>
      </w:tr>
    </w:tbl>
    <w:p>
      <w:pPr>
        <w:spacing w:after="260" w:before="60"/>
      </w:pPr>
      <w:r>
        <w:rPr>
          <w:i/>
          <w:iCs/>
          <w:color w:val="5A5A5A"/>
          <w:sz w:val="18"/>
          <w:szCs w:val="18"/>
        </w:rPr>
        <w:t xml:space="preserve">Figure 10. 2025 regular-season statistical line, Chicago Cubs.</w:t>
      </w:r>
    </w:p>
    <w:p>
      <w:pPr>
        <w:spacing w:after="160" w:line="276"/>
      </w:pPr>
      <w:r>
        <w:rPr>
          <w:color w:val="1A1A1A"/>
          <w:sz w:val="22"/>
          <w:szCs w:val="22"/>
        </w:rPr>
        <w:t xml:space="preserve">Keller's regular-season performance carried into October: across five postseason appearances he posted a 1.59 ERA, including the four-out save in the Cubs' NLDS Game 3 win over Milwaukee that forced a Game 4. The consistency of his performance across the highest-leverage stretch of the season — not just a hot two-month sample — is what ultimately drove his free-agent stock.</w:t>
      </w:r>
    </w:p>
    <w:p>
      <w:pPr>
        <w:pStyle w:val="Heading1"/>
        <w:spacing w:after="200" w:before="400"/>
      </w:pPr>
      <w:r>
        <w:t xml:space="preserve">4. Market Value: Projected vs. Actual</w:t>
      </w:r>
    </w:p>
    <w:p>
      <w:pPr>
        <w:pStyle w:val="Heading2"/>
        <w:spacing w:after="150" w:before="300"/>
      </w:pPr>
      <w:r>
        <w:t xml:space="preserve">4.1 Entering the 2025 Season</w:t>
      </w:r>
    </w:p>
    <w:p>
      <w:pPr>
        <w:spacing w:after="160" w:line="276"/>
      </w:pPr>
      <w:r>
        <w:rPr>
          <w:color w:val="1A1A1A"/>
          <w:sz w:val="22"/>
          <w:szCs w:val="22"/>
        </w:rPr>
        <w:t xml:space="preserve">As detailed in Section 1, Keller's market value entering 2025 was minimal: a non-guaranteed minor-league contract with the Cubs was the best offer available to a pitcher who had accumulated roughly –0.6 WAR across his two prior injury-shortened seasons.</w:t>
      </w:r>
    </w:p>
    <w:p>
      <w:pPr>
        <w:pStyle w:val="Heading2"/>
        <w:spacing w:after="150" w:before="300"/>
      </w:pPr>
      <w:r>
        <w:t xml:space="preserve">4.2 Pre-Signing Free-Agent Projections (Late 2025)</w:t>
      </w:r>
    </w:p>
    <w:p>
      <w:pPr>
        <w:spacing w:after="160" w:line="276"/>
      </w:pPr>
      <w:r>
        <w:rPr>
          <w:color w:val="1A1A1A"/>
          <w:sz w:val="22"/>
          <w:szCs w:val="22"/>
        </w:rPr>
        <w:t xml:space="preserve">Keller's 2025 breakout completely reset that valuation. Entering the 2025–26 free-agent class, MLB Trade Rumors projected a three-year, $36 million contract, with several analysts framing him as a candidate for a reliever-to-starter conversion in the mold of Michael King, Seth Lugo, and Clay Holmes — pitchers who successfully leveraged a relief breakout into a starting role and a bigger multi-year deal. ESPN's Kiley McDaniel listed Keller among free agents to “invest in,” citing the velocity gain, the improved zone rate, and pitch-shape traits (a cutter-shaped fastball favored by pitch-design-oriented front offices) that made him attractive as a potential 150-inning starter. At least one club, the Detroit Tigers, was reported to have specific interest in Keller as a starter.</w:t>
      </w:r>
    </w:p>
    <w:p>
      <w:pPr>
        <w:pStyle w:val="Heading2"/>
        <w:spacing w:after="150" w:before="300"/>
      </w:pPr>
      <w:r>
        <w:t xml:space="preserve">4.3 The Actual Contract</w:t>
      </w:r>
    </w:p>
    <w:p>
      <w:pPr>
        <w:spacing w:after="160" w:line="276"/>
      </w:pPr>
      <w:r>
        <w:rPr>
          <w:color w:val="1A1A1A"/>
          <w:sz w:val="22"/>
          <w:szCs w:val="22"/>
        </w:rPr>
        <w:t xml:space="preserve">On December 17, 2025, Keller agreed to a two-year, $22 million contract with the Philadelphia Phillies, finalized the following day after he passed his physical. The deal — identical in structure to the two-year, $22 million contract free-agent reliever Luke Weaver signed with the New York Mets the same day — was reported as a pure relief contract, with Keller ticketed to set up for closer Jhoan Durán rather than compete for a rotation spot. That places the deal below the $36 million, three-year ceiling some projections floated for a starter-conversion bet, indicating the market ultimately valued Keller as a premium high-leverage reliever rather than as a rotation gamble.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3200"/>
        <w:gridCol w:w="3460"/>
      </w:tblGrid>
      <w:tr>
        <w:trPr>
          <w:tblHeader/>
        </w:trPr>
        <w:tc>
          <w:tcPr>
            <w:tcW w:type="dxa" w:w="2700"/>
            <w:shd w:fill="0E3386" w:val="clear"/>
            <w:tcMar>
              <w:top w:type="dxa" w:w="100"/>
              <w:left w:type="dxa" w:w="120"/>
              <w:bottom w:type="dxa" w:w="100"/>
              <w:right w:type="dxa" w:w="120"/>
            </w:tcMar>
          </w:tcPr>
          <w:p>
            <w:r>
              <w:rPr>
                <w:b/>
                <w:bCs/>
                <w:color w:val="FFFFFF"/>
                <w:sz w:val="19"/>
                <w:szCs w:val="19"/>
              </w:rPr>
              <w:t xml:space="preserve">Stage</w:t>
            </w:r>
          </w:p>
        </w:tc>
        <w:tc>
          <w:tcPr>
            <w:tcW w:type="dxa" w:w="3200"/>
            <w:shd w:fill="0E3386" w:val="clear"/>
            <w:tcMar>
              <w:top w:type="dxa" w:w="100"/>
              <w:left w:type="dxa" w:w="120"/>
              <w:bottom w:type="dxa" w:w="100"/>
              <w:right w:type="dxa" w:w="120"/>
            </w:tcMar>
          </w:tcPr>
          <w:p>
            <w:r>
              <w:rPr>
                <w:b/>
                <w:bCs/>
                <w:color w:val="FFFFFF"/>
                <w:sz w:val="19"/>
                <w:szCs w:val="19"/>
              </w:rPr>
              <w:t xml:space="preserve">Valuation</w:t>
            </w:r>
          </w:p>
        </w:tc>
        <w:tc>
          <w:tcPr>
            <w:tcW w:type="dxa" w:w="3460"/>
            <w:shd w:fill="0E3386" w:val="clear"/>
            <w:tcMar>
              <w:top w:type="dxa" w:w="100"/>
              <w:left w:type="dxa" w:w="120"/>
              <w:bottom w:type="dxa" w:w="100"/>
              <w:right w:type="dxa" w:w="120"/>
            </w:tcMar>
          </w:tcPr>
          <w:p>
            <w:r>
              <w:rPr>
                <w:b/>
                <w:bCs/>
                <w:color w:val="FFFFFF"/>
                <w:sz w:val="19"/>
                <w:szCs w:val="19"/>
              </w:rPr>
              <w:t xml:space="preserve">Basis</w:t>
            </w:r>
          </w:p>
        </w:tc>
      </w:tr>
      <w:tr>
        <w:tc>
          <w:tcPr>
            <w:tcW w:type="dxa" w:w="2700"/>
            <w:shd w:fill="FFFFFF" w:val="clear"/>
            <w:tcMar>
              <w:top w:type="dxa" w:w="90"/>
              <w:left w:type="dxa" w:w="120"/>
              <w:bottom w:type="dxa" w:w="90"/>
              <w:right w:type="dxa" w:w="120"/>
            </w:tcMar>
          </w:tcPr>
          <w:p>
            <w:r>
              <w:rPr>
                <w:color w:val="1A1A1A"/>
                <w:sz w:val="19"/>
                <w:szCs w:val="19"/>
              </w:rPr>
              <w:t xml:space="preserve">Entering 2025</w:t>
            </w:r>
          </w:p>
        </w:tc>
        <w:tc>
          <w:tcPr>
            <w:tcW w:type="dxa" w:w="3200"/>
            <w:shd w:fill="FFFFFF" w:val="clear"/>
            <w:tcMar>
              <w:top w:type="dxa" w:w="90"/>
              <w:left w:type="dxa" w:w="120"/>
              <w:bottom w:type="dxa" w:w="90"/>
              <w:right w:type="dxa" w:w="120"/>
            </w:tcMar>
          </w:tcPr>
          <w:p>
            <w:r>
              <w:rPr>
                <w:color w:val="1A1A1A"/>
                <w:sz w:val="19"/>
                <w:szCs w:val="19"/>
              </w:rPr>
              <w:t xml:space="preserve">Minor-league deal (non-guaranteed)</w:t>
            </w:r>
          </w:p>
        </w:tc>
        <w:tc>
          <w:tcPr>
            <w:tcW w:type="dxa" w:w="3460"/>
            <w:shd w:fill="FFFFFF" w:val="clear"/>
            <w:tcMar>
              <w:top w:type="dxa" w:w="90"/>
              <w:left w:type="dxa" w:w="120"/>
              <w:bottom w:type="dxa" w:w="90"/>
              <w:right w:type="dxa" w:w="120"/>
            </w:tcMar>
          </w:tcPr>
          <w:p>
            <w:r>
              <w:rPr>
                <w:color w:val="1A1A1A"/>
                <w:sz w:val="19"/>
                <w:szCs w:val="19"/>
              </w:rPr>
              <w:t xml:space="preserve">–0.6 combined WAR, 2023–24; injury history</w:t>
            </w:r>
          </w:p>
        </w:tc>
      </w:tr>
      <w:tr>
        <w:tc>
          <w:tcPr>
            <w:tcW w:type="dxa" w:w="2700"/>
            <w:shd w:fill="F2F2F2" w:val="clear"/>
            <w:tcMar>
              <w:top w:type="dxa" w:w="90"/>
              <w:left w:type="dxa" w:w="120"/>
              <w:bottom w:type="dxa" w:w="90"/>
              <w:right w:type="dxa" w:w="120"/>
            </w:tcMar>
          </w:tcPr>
          <w:p>
            <w:r>
              <w:rPr>
                <w:color w:val="1A1A1A"/>
                <w:sz w:val="19"/>
                <w:szCs w:val="19"/>
              </w:rPr>
              <w:t xml:space="preserve">Pre-free-agency projection</w:t>
            </w:r>
          </w:p>
        </w:tc>
        <w:tc>
          <w:tcPr>
            <w:tcW w:type="dxa" w:w="3200"/>
            <w:shd w:fill="F2F2F2" w:val="clear"/>
            <w:tcMar>
              <w:top w:type="dxa" w:w="90"/>
              <w:left w:type="dxa" w:w="120"/>
              <w:bottom w:type="dxa" w:w="90"/>
              <w:right w:type="dxa" w:w="120"/>
            </w:tcMar>
          </w:tcPr>
          <w:p>
            <w:r>
              <w:rPr>
                <w:color w:val="1A1A1A"/>
                <w:sz w:val="19"/>
                <w:szCs w:val="19"/>
              </w:rPr>
              <w:t xml:space="preserve">3 yrs / $36M (MLBTR)</w:t>
            </w:r>
          </w:p>
        </w:tc>
        <w:tc>
          <w:tcPr>
            <w:tcW w:type="dxa" w:w="3460"/>
            <w:shd w:fill="F2F2F2" w:val="clear"/>
            <w:tcMar>
              <w:top w:type="dxa" w:w="90"/>
              <w:left w:type="dxa" w:w="120"/>
              <w:bottom w:type="dxa" w:w="90"/>
              <w:right w:type="dxa" w:w="120"/>
            </w:tcMar>
          </w:tcPr>
          <w:p>
            <w:r>
              <w:rPr>
                <w:color w:val="1A1A1A"/>
                <w:sz w:val="19"/>
                <w:szCs w:val="19"/>
              </w:rPr>
              <w:t xml:space="preserve">2025 breakout; viewed as starter-conversion candidate</w:t>
            </w:r>
          </w:p>
        </w:tc>
      </w:tr>
      <w:tr>
        <w:tc>
          <w:tcPr>
            <w:tcW w:type="dxa" w:w="2700"/>
            <w:shd w:fill="FFFFFF" w:val="clear"/>
            <w:tcMar>
              <w:top w:type="dxa" w:w="90"/>
              <w:left w:type="dxa" w:w="120"/>
              <w:bottom w:type="dxa" w:w="90"/>
              <w:right w:type="dxa" w:w="120"/>
            </w:tcMar>
          </w:tcPr>
          <w:p>
            <w:r>
              <w:rPr>
                <w:color w:val="1A1A1A"/>
                <w:sz w:val="19"/>
                <w:szCs w:val="19"/>
              </w:rPr>
              <w:t xml:space="preserve">Actual signing (Dec. 2025)</w:t>
            </w:r>
          </w:p>
        </w:tc>
        <w:tc>
          <w:tcPr>
            <w:tcW w:type="dxa" w:w="3200"/>
            <w:shd w:fill="FFFFFF" w:val="clear"/>
            <w:tcMar>
              <w:top w:type="dxa" w:w="90"/>
              <w:left w:type="dxa" w:w="120"/>
              <w:bottom w:type="dxa" w:w="90"/>
              <w:right w:type="dxa" w:w="120"/>
            </w:tcMar>
          </w:tcPr>
          <w:p>
            <w:r>
              <w:rPr>
                <w:color w:val="1A1A1A"/>
                <w:sz w:val="19"/>
                <w:szCs w:val="19"/>
              </w:rPr>
              <w:t xml:space="preserve">2 yrs / $22M — Philadelphia Phillies</w:t>
            </w:r>
          </w:p>
        </w:tc>
        <w:tc>
          <w:tcPr>
            <w:tcW w:type="dxa" w:w="3460"/>
            <w:shd w:fill="FFFFFF" w:val="clear"/>
            <w:tcMar>
              <w:top w:type="dxa" w:w="90"/>
              <w:left w:type="dxa" w:w="120"/>
              <w:bottom w:type="dxa" w:w="90"/>
              <w:right w:type="dxa" w:w="120"/>
            </w:tcMar>
          </w:tcPr>
          <w:p>
            <w:r>
              <w:rPr>
                <w:color w:val="1A1A1A"/>
                <w:sz w:val="19"/>
                <w:szCs w:val="19"/>
              </w:rPr>
              <w:t xml:space="preserve">Pure relief role; setup for closer Jhoan Durán</w:t>
            </w:r>
          </w:p>
        </w:tc>
      </w:tr>
    </w:tbl>
    <w:p>
      <w:pPr>
        <w:spacing w:after="260" w:before="60"/>
      </w:pPr>
      <w:r>
        <w:rPr>
          <w:i/>
          <w:iCs/>
          <w:color w:val="5A5A5A"/>
          <w:sz w:val="18"/>
          <w:szCs w:val="18"/>
        </w:rPr>
        <w:t xml:space="preserve">Figure 11. Market value at three points in Keller's 2025–26 arc.</w:t>
      </w:r>
    </w:p>
    <w:p>
      <w:pPr>
        <w:spacing w:after="160" w:line="276"/>
      </w:pPr>
      <w:r>
        <w:rPr>
          <w:color w:val="1A1A1A"/>
          <w:sz w:val="22"/>
          <w:szCs w:val="22"/>
        </w:rPr>
        <w:t xml:space="preserve">The Cubs, for their part, stayed engaged with Keller's camp (Excel Sports Management) throughout the process but let his market move past their “financial comfort zone,” opting instead to address the bullpen with a two-year, $14.5 million deal for Phil Maton and one-year deals for Caleb Thielbar and Hoby Milner.</w:t>
      </w:r>
    </w:p>
    <w:p>
      <w:pPr>
        <w:pStyle w:val="Heading1"/>
        <w:spacing w:after="200" w:before="400"/>
      </w:pPr>
      <w:r>
        <w:t xml:space="preserve">5. Conclusion</w:t>
      </w:r>
    </w:p>
    <w:p>
      <w:pPr>
        <w:spacing w:after="160" w:line="276"/>
      </w:pPr>
      <w:r>
        <w:rPr>
          <w:color w:val="1A1A1A"/>
          <w:sz w:val="22"/>
          <w:szCs w:val="22"/>
        </w:rPr>
        <w:t xml:space="preserve">Brad Keller's 2025 season is a compact case study in how a single mechanical and role change — shifting from multi-inning starting outings to one-inning relief stints — can reshape a pitcher's stuff, performance, and market value almost overnight. The velocity gain unlocked a two-pitch bat-missing combination (slider/sweeper) that simply wasn't playable at his starter-era fastball velocity, and the performance that followed (2.07 ERA, 0.96 WHIP, 1.4 bWAR, a sub-2.00 postseason ERA) took him from a non-guaranteed minor-league contract to a $22 million guarantee in under twelve months. That said, the final number — a two-year, pure-relief deal — also shows the limits of the starter-conversion premium some forecasters expected: the market rewarded Keller as an elite reliever, not as a starter prospect, suggesting that teams valued the demonstrated 2025 role over the hypothetical of stretching him back out.</w:t>
      </w:r>
    </w:p>
    <w:p>
      <w:pPr>
        <w:pBdr>
          <w:bottom w:val="single" w:color="CBD3E0" w:sz="6" w:space="1"/>
        </w:pBdr>
        <w:spacing w:after="120" w:before="120"/>
      </w:pPr>
    </w:p>
    <w:p>
      <w:pPr>
        <w:spacing w:before="200"/>
      </w:pPr>
      <w:r>
        <w:rPr>
          <w:i/>
          <w:iCs/>
          <w:color w:val="5A5A5A"/>
          <w:sz w:val="16"/>
          <w:szCs w:val="16"/>
        </w:rPr>
        <w:t xml:space="preserve">Sources: Baseball Savant / Statcast, MLB.com, ESPN, MLB Trade Rumors, CBS Sports, Chicago Sun-Times, Bleacher Nation, Yahoo Sports, RotoWire, and team-reported transaction details, compiled September 2026.</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5A5A"/>
        <w:sz w:val="16"/>
        <w:szCs w:val="16"/>
      </w:rPr>
      <w:t xml:space="preserve">Page </w:t>
    </w:r>
    <w:r>
      <w:rPr>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A5A5A"/>
        <w:sz w:val="16"/>
        <w:szCs w:val="16"/>
      </w:rPr>
      <w:t xml:space="preserve">Brad Keller: Starter to High-Leverage Reliever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a72d004a363d75915517a682fd14a6c283a6bb5.png"/><Relationship Id="rId10" Type="http://schemas.openxmlformats.org/officeDocument/2006/relationships/image" Target="media/459dbe7522f390b36afa14bf9d366e69f8ec15b6.png"/><Relationship Id="rId11" Type="http://schemas.openxmlformats.org/officeDocument/2006/relationships/image" Target="media/ba4ed27664fde607ed19bf49d3a6fb1ec4ab0bd5.png"/><Relationship Id="rId12" Type="http://schemas.openxmlformats.org/officeDocument/2006/relationships/image" Target="media/0bb4273af25a95e8963f426fcff0b88247442c06.png"/><Relationship Id="rId13" Type="http://schemas.openxmlformats.org/officeDocument/2006/relationships/image" Target="media/01a29ce6180a54a3edb312162e8533cb8aaf5f2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2026-09-11T02:56:06.213Z</dcterms:created>
  <dcterms:modified xsi:type="dcterms:W3CDTF">2026-09-11T02:56:06.214Z</dcterms:modified>
</cp:coreProperties>
</file>

<file path=docProps/custom.xml><?xml version="1.0" encoding="utf-8"?>
<Properties xmlns="http://schemas.openxmlformats.org/officeDocument/2006/custom-properties" xmlns:vt="http://schemas.openxmlformats.org/officeDocument/2006/docPropsVTypes"/>
</file>